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Heading1"/>
        <w:rPr>
          <w:rFonts w:eastAsia="宋体" w:hint="eastAsia"/>
          <w:lang w:eastAsia="zh-CN"/>
        </w:rPr>
      </w:pPr>
      <w:bookmarkStart w:id="0" w:name="_Toc_4_4_0000000004"/>
      <w:r>
        <w:t>202</w:t>
      </w:r>
      <w:r>
        <w:rPr>
          <w:rFonts w:hint="eastAsia"/>
          <w:lang w:val="en-US" w:eastAsia="zh-CN"/>
        </w:rPr>
        <w:t>4</w:t>
      </w:r>
      <w:r>
        <w:t>年承德市第</w:t>
      </w:r>
      <w:r>
        <w:rPr>
          <w:rFonts w:hint="eastAsia"/>
          <w:lang w:eastAsia="zh-CN"/>
        </w:rPr>
        <w:t>三</w:t>
      </w:r>
      <w:r>
        <w:t>幼儿园预算</w:t>
      </w:r>
      <w:r>
        <w:rPr>
          <w:rFonts w:hint="eastAsia"/>
          <w:lang w:val="en-US" w:eastAsia="zh-CN"/>
        </w:rPr>
        <w:t>信息</w:t>
      </w:r>
      <w:r>
        <w:t>公开</w:t>
      </w:r>
      <w:r>
        <w:rPr>
          <w:rFonts w:hint="eastAsia"/>
          <w:lang w:val="en-US" w:eastAsia="zh-CN"/>
        </w:rPr>
        <w:t>目录</w:t>
      </w:r>
      <w:r>
        <w:rPr>
          <w:rFonts w:ascii="Times New Roman" w:eastAsia="Times New Roman" w:hAnsi="Times New Roman" w:cs="Times New Roman"/>
          <w:sz w:val="24"/>
        </w:rPr>
        <w:t xml:space="preserve"> </w:t>
      </w:r>
      <w:r>
        <w:rPr>
          <w:rFonts w:ascii="Times New Roman" w:eastAsia="宋体" w:hAnsi="Times New Roman" w:cs="Times New Roman" w:hint="eastAsia"/>
          <w:sz w:val="24"/>
          <w:lang w:eastAsia="zh-CN"/>
        </w:rPr>
        <w:t>　</w:t>
      </w:r>
    </w:p>
    <w:p>
      <w:r>
        <w:rPr>
          <w:rFonts w:ascii="方正楷体_GBK" w:eastAsia="方正楷体_GBK" w:hAnsi="方正楷体_GBK" w:cs="方正楷体_GBK" w:hint="eastAsia"/>
          <w:b/>
          <w:sz w:val="28"/>
          <w:lang w:eastAsia="zh-CN"/>
        </w:rPr>
        <w:t>单位</w:t>
      </w:r>
      <w:r>
        <w:rPr>
          <w:rFonts w:ascii="方正楷体_GBK" w:eastAsia="方正楷体_GBK" w:hAnsi="方正楷体_GBK" w:cs="方正楷体_GBK"/>
          <w:b/>
          <w:sz w:val="28"/>
        </w:rPr>
        <w:t>预算公开表</w:t>
      </w:r>
    </w:p>
    <w:p>
      <w:pPr>
        <w:pStyle w:val="TOC1"/>
        <w:tabs>
          <w:tab w:val="right" w:leader="dot" w:pos="14562"/>
        </w:tabs>
        <w:rPr>
          <w:rFonts w:eastAsia="方正仿宋_GBK" w:hint="eastAsia"/>
          <w:lang w:val="en-US" w:eastAsia="zh-CN"/>
        </w:rPr>
      </w:pPr>
      <w:r>
        <w:fldChar w:fldCharType="begin"/>
      </w:r>
      <w:r>
        <w:instrText>TOC \o "2-2" \h \z \u</w:instrText>
      </w:r>
      <w:r>
        <w:fldChar w:fldCharType="separate"/>
      </w:r>
      <w:hyperlink w:anchor="_Toc_2_2_0000000001" w:history="1">
        <w:r>
          <w:rPr>
            <w:rFonts w:hint="eastAsia"/>
            <w:lang w:eastAsia="zh-CN"/>
          </w:rPr>
          <w:t>单位</w:t>
        </w:r>
        <w:r>
          <w:t>预算收支总表</w:t>
        </w:r>
        <w:r>
          <w:tab/>
        </w:r>
      </w:hyperlink>
      <w:r>
        <w:rPr>
          <w:rFonts w:hint="eastAsia"/>
          <w:lang w:val="en-US" w:eastAsia="zh-CN"/>
        </w:rPr>
        <w:t>3</w:t>
      </w:r>
    </w:p>
    <w:p>
      <w:pPr>
        <w:pStyle w:val="TOC1"/>
        <w:tabs>
          <w:tab w:val="right" w:leader="dot" w:pos="14562"/>
        </w:tabs>
      </w:pPr>
      <w:hyperlink w:anchor="_Toc_2_2_0000000002" w:history="1">
        <w:r>
          <w:rPr>
            <w:rFonts w:hint="eastAsia"/>
          </w:rPr>
          <w:t>单位</w:t>
        </w:r>
        <w:r>
          <w:t>预算收入总表</w:t>
        </w:r>
        <w:r>
          <w:tab/>
        </w:r>
      </w:hyperlink>
      <w:r>
        <w:rPr>
          <w:rFonts w:ascii="宋体" w:eastAsia="宋体" w:hAnsi="宋体" w:hint="eastAsia"/>
          <w:lang w:eastAsia="zh-CN"/>
        </w:rPr>
        <w:t>5</w:t>
      </w:r>
    </w:p>
    <w:p>
      <w:pPr>
        <w:pStyle w:val="TOC1"/>
        <w:tabs>
          <w:tab w:val="right" w:leader="dot" w:pos="14562"/>
        </w:tabs>
      </w:pPr>
      <w:hyperlink w:anchor="_Toc_2_2_0000000003" w:history="1">
        <w:r>
          <w:rPr>
            <w:rFonts w:hint="eastAsia"/>
          </w:rPr>
          <w:t>单位</w:t>
        </w:r>
        <w:r>
          <w:t>预算支出总表</w:t>
        </w:r>
        <w:r>
          <w:tab/>
        </w:r>
        <w:r>
          <w:rPr>
            <w:rFonts w:hint="eastAsia"/>
            <w:lang w:eastAsia="zh-CN"/>
          </w:rPr>
          <w:t>6</w:t>
        </w:r>
      </w:hyperlink>
    </w:p>
    <w:p>
      <w:pPr>
        <w:pStyle w:val="TOC1"/>
        <w:tabs>
          <w:tab w:val="right" w:leader="dot" w:pos="14562"/>
        </w:tabs>
      </w:pPr>
      <w:hyperlink w:anchor="_Toc_2_2_0000000004" w:history="1">
        <w:r>
          <w:rPr>
            <w:rFonts w:hint="eastAsia"/>
          </w:rPr>
          <w:t>单位</w:t>
        </w:r>
        <w:r>
          <w:t>预算财政拨款收支总表</w:t>
        </w:r>
        <w:r>
          <w:tab/>
        </w:r>
        <w:r>
          <w:rPr>
            <w:rFonts w:hint="eastAsia"/>
            <w:lang w:eastAsia="zh-CN"/>
          </w:rPr>
          <w:t>7</w:t>
        </w:r>
      </w:hyperlink>
    </w:p>
    <w:p>
      <w:pPr>
        <w:pStyle w:val="TOC1"/>
        <w:tabs>
          <w:tab w:val="right" w:leader="dot" w:pos="14562"/>
        </w:tabs>
      </w:pPr>
      <w:hyperlink w:anchor="_Toc_2_2_0000000005" w:history="1">
        <w:r>
          <w:rPr>
            <w:rFonts w:hint="eastAsia"/>
          </w:rPr>
          <w:t>单位</w:t>
        </w:r>
        <w:r>
          <w:t>预算一般公共预算财政拨款支出表</w:t>
        </w:r>
        <w:r>
          <w:tab/>
        </w:r>
        <w:r>
          <w:rPr>
            <w:rFonts w:ascii="Calibri" w:eastAsia="宋体" w:hAnsi="Calibri" w:cs="Calibri" w:hint="default"/>
            <w:lang w:val="en-US" w:eastAsia="zh-CN"/>
          </w:rPr>
          <w:t>9</w:t>
        </w:r>
      </w:hyperlink>
    </w:p>
    <w:p>
      <w:pPr>
        <w:pStyle w:val="TOC1"/>
        <w:tabs>
          <w:tab w:val="right" w:leader="dot" w:pos="14562"/>
        </w:tabs>
        <w:rPr>
          <w:rFonts w:hint="default"/>
          <w:lang w:val="en-US"/>
        </w:rPr>
      </w:pPr>
      <w:hyperlink w:anchor="_Toc_2_2_0000000006" w:history="1">
        <w:r>
          <w:rPr>
            <w:rFonts w:hint="eastAsia"/>
          </w:rPr>
          <w:t>单位</w:t>
        </w:r>
        <w:r>
          <w:t>预算一般公共预算财政拨款基本支出表</w:t>
        </w:r>
        <w:r>
          <w:tab/>
        </w:r>
        <w:r>
          <w:rPr>
            <w:rFonts w:hint="eastAsia"/>
            <w:lang w:val="en-US" w:eastAsia="zh-CN"/>
          </w:rPr>
          <w:t>1</w:t>
        </w:r>
      </w:hyperlink>
      <w:r>
        <w:rPr>
          <w:rFonts w:ascii="Calibri" w:eastAsia="宋体" w:hAnsi="Calibri" w:cs="Calibri" w:hint="default"/>
          <w:lang w:val="en-US" w:eastAsia="zh-CN"/>
        </w:rPr>
        <w:t>0</w:t>
      </w:r>
    </w:p>
    <w:p>
      <w:pPr>
        <w:pStyle w:val="TOC1"/>
        <w:tabs>
          <w:tab w:val="right" w:leader="dot" w:pos="14562"/>
        </w:tabs>
        <w:rPr>
          <w:rFonts w:hint="default"/>
          <w:lang w:val="en-US"/>
        </w:rPr>
      </w:pPr>
      <w:hyperlink w:anchor="_Toc_2_2_0000000007" w:history="1">
        <w:r>
          <w:rPr>
            <w:rFonts w:hint="eastAsia"/>
          </w:rPr>
          <w:t>单位</w:t>
        </w:r>
        <w:r>
          <w:t>预算政府基金预算财政拨款支出表</w:t>
        </w:r>
        <w:r>
          <w:tab/>
        </w:r>
      </w:hyperlink>
      <w:r>
        <w:rPr>
          <w:rFonts w:ascii="Calibri" w:eastAsia="宋体" w:hAnsi="Calibri" w:cs="Calibri" w:hint="default"/>
          <w:lang w:val="en-US" w:eastAsia="zh-CN"/>
        </w:rPr>
        <w:t>1</w:t>
      </w:r>
      <w:r>
        <w:rPr>
          <w:rFonts w:eastAsia="宋体" w:hAnsi="宋体" w:asciiTheme="minorAscii" w:hint="eastAsia"/>
          <w:lang w:val="en-US" w:eastAsia="zh-CN"/>
        </w:rPr>
        <w:t>2</w:t>
      </w:r>
    </w:p>
    <w:p>
      <w:pPr>
        <w:pStyle w:val="TOC1"/>
        <w:tabs>
          <w:tab w:val="right" w:leader="dot" w:pos="14562"/>
        </w:tabs>
        <w:rPr>
          <w:rFonts w:hint="default"/>
          <w:lang w:val="en-US"/>
        </w:rPr>
      </w:pPr>
      <w:hyperlink w:anchor="_Toc_2_2_0000000008" w:history="1">
        <w:r>
          <w:rPr>
            <w:rFonts w:hint="eastAsia"/>
          </w:rPr>
          <w:t>单位</w:t>
        </w:r>
        <w:r>
          <w:t>预算国有资本经营预算财政拨款支出表</w:t>
        </w:r>
        <w:r>
          <w:tab/>
        </w:r>
      </w:hyperlink>
      <w:r>
        <w:rPr>
          <w:rFonts w:ascii="Calibri" w:eastAsia="宋体" w:hAnsi="Calibri" w:cs="Calibri" w:hint="default"/>
          <w:lang w:val="en-US" w:eastAsia="zh-CN"/>
        </w:rPr>
        <w:t>13</w:t>
      </w:r>
    </w:p>
    <w:p>
      <w:pPr>
        <w:pStyle w:val="TOC1"/>
        <w:tabs>
          <w:tab w:val="right" w:leader="dot" w:pos="14562"/>
        </w:tabs>
      </w:pPr>
      <w:hyperlink w:anchor="_Toc_2_2_0000000009" w:history="1">
        <w:r>
          <w:rPr>
            <w:rFonts w:hint="eastAsia"/>
          </w:rPr>
          <w:t>单位</w:t>
        </w:r>
        <w:r>
          <w:t>预算财政拨款“三公”经费支出表</w:t>
        </w:r>
        <w:r>
          <w:tab/>
        </w:r>
        <w:r>
          <w:rPr>
            <w:rFonts w:hint="eastAsia"/>
            <w:lang w:eastAsia="zh-CN"/>
          </w:rPr>
          <w:t>1</w:t>
        </w:r>
      </w:hyperlink>
      <w:r>
        <w:rPr>
          <w:rFonts w:ascii="Calibri" w:eastAsia="宋体" w:hAnsi="Calibri" w:cs="Calibri" w:hint="default"/>
          <w:lang w:val="en-US" w:eastAsia="zh-CN"/>
        </w:rPr>
        <w:t>4</w:t>
      </w:r>
    </w:p>
    <w:p>
      <w:pPr>
        <w:tabs>
          <w:tab w:val="left" w:pos="12960"/>
        </w:tabs>
      </w:pPr>
      <w:r>
        <w:fldChar w:fldCharType="end"/>
      </w:r>
      <w:r>
        <w:tab/>
      </w:r>
    </w:p>
    <w:p>
      <w:pPr>
        <w:rPr>
          <w:lang w:eastAsia="zh-CN"/>
        </w:rPr>
      </w:pPr>
      <w:r>
        <w:rPr>
          <w:rFonts w:ascii="方正楷体_GBK" w:eastAsia="方正楷体_GBK" w:hAnsi="方正楷体_GBK" w:cs="方正楷体_GBK" w:hint="eastAsia"/>
          <w:b/>
          <w:sz w:val="28"/>
          <w:lang w:eastAsia="zh-CN"/>
        </w:rPr>
        <w:t>单位</w:t>
      </w:r>
      <w:r>
        <w:rPr>
          <w:rFonts w:ascii="方正楷体_GBK" w:eastAsia="方正楷体_GBK" w:hAnsi="方正楷体_GBK" w:cs="方正楷体_GBK"/>
          <w:b/>
          <w:sz w:val="28"/>
          <w:lang w:eastAsia="zh-CN"/>
        </w:rPr>
        <w:t>预算信息公开情况说明</w:t>
      </w:r>
    </w:p>
    <w:p>
      <w:pPr>
        <w:pStyle w:val="TOC1"/>
        <w:tabs>
          <w:tab w:val="right" w:leader="dot" w:pos="14562"/>
        </w:tabs>
        <w:rPr>
          <w:rFonts w:hint="default"/>
          <w:lang w:val="en-US"/>
        </w:rPr>
      </w:pPr>
      <w:r>
        <w:fldChar w:fldCharType="begin"/>
      </w:r>
      <w:r>
        <w:instrText>TOC \o "3-3" \h \z \u</w:instrText>
      </w:r>
      <w:r>
        <w:fldChar w:fldCharType="separate"/>
      </w:r>
      <w:hyperlink w:anchor="_Toc_3_3_0000000010" w:history="1">
        <w:r>
          <w:t>一、</w:t>
        </w:r>
        <w:r>
          <w:rPr>
            <w:rFonts w:hint="eastAsia"/>
          </w:rPr>
          <w:t>单位</w:t>
        </w:r>
        <w:r>
          <w:t>职责及机构设置情况</w:t>
        </w:r>
        <w:r>
          <w:tab/>
        </w:r>
        <w:r>
          <w:rPr>
            <w:rFonts w:hint="eastAsia"/>
            <w:lang w:val="en-US" w:eastAsia="zh-CN"/>
          </w:rPr>
          <w:t>1</w:t>
        </w:r>
      </w:hyperlink>
      <w:r>
        <w:rPr>
          <w:rFonts w:ascii="Calibri" w:eastAsia="宋体" w:hAnsi="Calibri" w:cs="Calibri" w:hint="default"/>
          <w:lang w:val="en-US" w:eastAsia="zh-CN"/>
        </w:rPr>
        <w:t>5</w:t>
      </w:r>
    </w:p>
    <w:p>
      <w:pPr>
        <w:pStyle w:val="TOC1"/>
        <w:tabs>
          <w:tab w:val="right" w:leader="dot" w:pos="14562"/>
        </w:tabs>
      </w:pPr>
      <w:hyperlink w:anchor="_Toc_3_3_0000000011" w:history="1">
        <w:r>
          <w:t>二、</w:t>
        </w:r>
        <w:r>
          <w:rPr>
            <w:rFonts w:hint="eastAsia"/>
          </w:rPr>
          <w:t>单位</w:t>
        </w:r>
        <w:r>
          <w:t>预算安排的总体情况</w:t>
        </w:r>
        <w:r>
          <w:tab/>
        </w:r>
        <w:r>
          <w:rPr>
            <w:rFonts w:hint="eastAsia"/>
            <w:lang w:eastAsia="zh-CN"/>
          </w:rPr>
          <w:t>1</w:t>
        </w:r>
        <w:r>
          <w:rPr>
            <w:rFonts w:ascii="Calibri" w:eastAsia="宋体" w:hAnsi="Calibri" w:cs="Calibri" w:hint="default"/>
            <w:lang w:val="en-US" w:eastAsia="zh-CN"/>
          </w:rPr>
          <w:t>8</w:t>
        </w:r>
      </w:hyperlink>
    </w:p>
    <w:p>
      <w:pPr>
        <w:pStyle w:val="TOC1"/>
        <w:tabs>
          <w:tab w:val="right" w:leader="dot" w:pos="14562"/>
        </w:tabs>
        <w:rPr>
          <w:rFonts w:hint="default"/>
          <w:lang w:val="en-US"/>
        </w:rPr>
      </w:pPr>
      <w:hyperlink w:anchor="_Toc_3_3_0000000012" w:history="1">
        <w:r>
          <w:t>三、机关运行经费安排情况</w:t>
        </w:r>
        <w:r>
          <w:tab/>
        </w:r>
        <w:r>
          <w:rPr>
            <w:rFonts w:ascii="Calibri" w:eastAsia="宋体" w:hAnsi="Calibri" w:cs="Calibri" w:hint="default"/>
            <w:lang w:val="en-US" w:eastAsia="zh-CN"/>
          </w:rPr>
          <w:t>1</w:t>
        </w:r>
      </w:hyperlink>
      <w:r>
        <w:rPr>
          <w:rFonts w:ascii="Calibri" w:eastAsia="宋体" w:hAnsi="Calibri" w:cs="Calibri" w:hint="default"/>
          <w:lang w:val="en-US" w:eastAsia="zh-CN"/>
        </w:rPr>
        <w:t>8</w:t>
      </w:r>
    </w:p>
    <w:p>
      <w:pPr>
        <w:pStyle w:val="TOC1"/>
        <w:tabs>
          <w:tab w:val="right" w:leader="dot" w:pos="14562"/>
        </w:tabs>
        <w:rPr>
          <w:rFonts w:hint="default"/>
          <w:lang w:val="en-US"/>
        </w:rPr>
      </w:pPr>
      <w:hyperlink w:anchor="_Toc_3_3_0000000013" w:history="1">
        <w:r>
          <w:t>四、财政拨款“三公”经费预算情况及增减变化原因</w:t>
        </w:r>
        <w:r>
          <w:tab/>
        </w:r>
        <w:r>
          <w:rPr>
            <w:rFonts w:ascii="Calibri" w:eastAsia="宋体" w:hAnsi="Calibri" w:cs="Calibri" w:hint="default"/>
            <w:lang w:val="en-US" w:eastAsia="zh-CN"/>
          </w:rPr>
          <w:t>1</w:t>
        </w:r>
      </w:hyperlink>
      <w:r>
        <w:rPr>
          <w:rFonts w:ascii="Calibri" w:eastAsia="宋体" w:hAnsi="Calibri" w:cs="Calibri" w:hint="default"/>
          <w:lang w:val="en-US" w:eastAsia="zh-CN"/>
        </w:rPr>
        <w:t>8</w:t>
      </w:r>
    </w:p>
    <w:p>
      <w:pPr>
        <w:pStyle w:val="TOC1"/>
        <w:tabs>
          <w:tab w:val="right" w:leader="dot" w:pos="14562"/>
        </w:tabs>
        <w:rPr>
          <w:rFonts w:hint="default"/>
          <w:lang w:val="en-US"/>
        </w:rPr>
      </w:pPr>
      <w:hyperlink w:anchor="_Toc_3_3_0000000014" w:history="1">
        <w:r>
          <w:t>五、预算绩效信息</w:t>
        </w:r>
        <w:r>
          <w:tab/>
        </w:r>
        <w:r>
          <w:rPr>
            <w:rFonts w:ascii="Calibri" w:eastAsia="宋体" w:hAnsi="Calibri" w:cs="Calibri" w:hint="default"/>
            <w:lang w:val="en-US" w:eastAsia="zh-CN"/>
          </w:rPr>
          <w:t>1</w:t>
        </w:r>
      </w:hyperlink>
      <w:r>
        <w:rPr>
          <w:rFonts w:ascii="Calibri" w:eastAsia="宋体" w:hAnsi="Calibri" w:cs="Calibri" w:hint="default"/>
          <w:lang w:val="en-US" w:eastAsia="zh-CN"/>
        </w:rPr>
        <w:t>9</w:t>
      </w:r>
    </w:p>
    <w:p>
      <w:pPr>
        <w:pStyle w:val="TOC1"/>
        <w:tabs>
          <w:tab w:val="right" w:leader="dot" w:pos="14562"/>
        </w:tabs>
        <w:rPr>
          <w:rFonts w:ascii="Calibri" w:hAnsi="Calibri" w:cs="Calibri" w:hint="default"/>
          <w:lang w:val="en-US"/>
        </w:rPr>
      </w:pPr>
      <w:hyperlink w:anchor="_Toc_3_3_0000000015" w:history="1">
        <w:r>
          <w:t>六、政府采购预算情况</w:t>
        </w:r>
        <w:r>
          <w:tab/>
        </w:r>
        <w:r>
          <w:rPr>
            <w:rFonts w:hint="eastAsia"/>
            <w:lang w:val="en-US" w:eastAsia="zh-CN"/>
          </w:rPr>
          <w:t>2</w:t>
        </w:r>
      </w:hyperlink>
      <w:r>
        <w:rPr>
          <w:rFonts w:ascii="Calibri" w:eastAsia="宋体" w:hAnsi="Calibri" w:cs="Calibri" w:hint="default"/>
          <w:lang w:val="en-US" w:eastAsia="zh-CN"/>
        </w:rPr>
        <w:t>1</w:t>
      </w:r>
    </w:p>
    <w:p>
      <w:pPr>
        <w:pStyle w:val="TOC1"/>
        <w:tabs>
          <w:tab w:val="right" w:leader="dot" w:pos="14562"/>
        </w:tabs>
      </w:pPr>
      <w:hyperlink w:anchor="_Toc_3_3_0000000016" w:history="1">
        <w:r>
          <w:t>七、国有资产信息</w:t>
        </w:r>
        <w:r>
          <w:tab/>
        </w:r>
        <w:r>
          <w:rPr>
            <w:rFonts w:hint="eastAsia"/>
            <w:lang w:eastAsia="zh-CN"/>
          </w:rPr>
          <w:t>2</w:t>
        </w:r>
        <w:r>
          <w:rPr>
            <w:rFonts w:ascii="Calibri" w:eastAsia="宋体" w:hAnsi="Calibri" w:cs="Calibri" w:hint="eastAsia"/>
            <w:lang w:val="en-US" w:eastAsia="zh-CN"/>
          </w:rPr>
          <w:t>1</w:t>
        </w:r>
      </w:hyperlink>
    </w:p>
    <w:p>
      <w:pPr>
        <w:pStyle w:val="TOC1"/>
        <w:tabs>
          <w:tab w:val="right" w:leader="dot" w:pos="14562"/>
        </w:tabs>
      </w:pPr>
      <w:hyperlink w:anchor="_Toc_3_3_0000000017" w:history="1">
        <w:r>
          <w:t>八、名词解释</w:t>
        </w:r>
        <w:r>
          <w:tab/>
        </w:r>
        <w:r>
          <w:rPr>
            <w:rFonts w:hint="eastAsia"/>
            <w:lang w:eastAsia="zh-CN"/>
          </w:rPr>
          <w:t>2</w:t>
        </w:r>
        <w:r>
          <w:rPr>
            <w:rFonts w:ascii="Calibri" w:eastAsia="宋体" w:hAnsi="Calibri" w:cs="Calibri" w:hint="default"/>
            <w:lang w:val="en-US" w:eastAsia="zh-CN"/>
          </w:rPr>
          <w:t>2</w:t>
        </w:r>
      </w:hyperlink>
    </w:p>
    <w:p>
      <w:pPr>
        <w:pStyle w:val="TOC1"/>
        <w:tabs>
          <w:tab w:val="right" w:leader="dot" w:pos="14562"/>
        </w:tabs>
        <w:rPr>
          <w:rFonts w:hint="default"/>
          <w:lang w:val="en-US"/>
        </w:rPr>
      </w:pPr>
      <w:hyperlink w:anchor="_Toc_3_3_0000000018" w:history="1">
        <w:r>
          <w:t>九、其他需要说明的事项</w:t>
        </w:r>
        <w:r>
          <w:tab/>
        </w:r>
        <w:r>
          <w:rPr>
            <w:rFonts w:hint="eastAsia"/>
            <w:lang w:val="en-US" w:eastAsia="zh-CN"/>
          </w:rPr>
          <w:t>2</w:t>
        </w:r>
      </w:hyperlink>
      <w:r>
        <w:rPr>
          <w:rFonts w:eastAsia="宋体" w:hAnsi="宋体" w:asciiTheme="minorAscii" w:hint="eastAsia"/>
          <w:lang w:val="en-US" w:eastAsia="zh-CN"/>
        </w:rPr>
        <w:t>3</w:t>
      </w:r>
    </w:p>
    <w:p>
      <w:pPr>
        <w:jc w:val="center"/>
        <w:outlineLvl w:val="3"/>
        <w:rPr>
          <w:rFonts w:ascii="方正小标宋_GBK" w:eastAsia="方正小标宋_GBK" w:hAnsi="方正小标宋_GBK" w:cs="方正小标宋_GBK"/>
          <w:color w:val="000000"/>
          <w:sz w:val="44"/>
        </w:rPr>
      </w:pPr>
      <w:r>
        <w:fldChar w:fldCharType="end"/>
      </w: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pPr>
      <w:r>
        <w:rPr>
          <w:rFonts w:ascii="方正小标宋_GBK" w:eastAsia="方正小标宋_GBK" w:hAnsi="方正小标宋_GBK" w:cs="方正小标宋_GBK"/>
          <w:color w:val="000000"/>
          <w:sz w:val="44"/>
        </w:rPr>
        <w:t>承德市第三幼儿园收支预算</w:t>
      </w:r>
      <w:bookmarkEnd w:id="0"/>
    </w:p>
    <w:p>
      <w:pPr>
        <w:jc w:val="center"/>
        <w:outlineLvl w:val="4"/>
      </w:pPr>
      <w:r>
        <w:rPr>
          <w:rFonts w:ascii="方正小标宋_GBK" w:eastAsia="方正小标宋_GBK" w:hAnsi="方正小标宋_GBK" w:cs="方正小标宋_GBK"/>
          <w:color w:val="000000"/>
          <w:sz w:val="36"/>
        </w:rPr>
        <w:t>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401006承德市第三幼儿园</w:t>
            </w:r>
          </w:p>
        </w:tc>
        <w:tc>
          <w:tcPr>
            <w:tcW w:w="2126" w:type="dxa"/>
            <w:tcBorders>
              <w:top w:val="single" w:sz="6" w:space="0" w:color="FFFFFF"/>
              <w:left w:val="single" w:sz="6" w:space="0" w:color="FFFFFF"/>
              <w:right w:val="single" w:sz="6" w:space="0" w:color="FFFFFF"/>
            </w:tcBorders>
            <w:vAlign w:val="center"/>
          </w:tcPr>
          <w:p>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1111.12</w:t>
            </w:r>
          </w:p>
        </w:tc>
        <w:tc>
          <w:tcPr>
            <w:tcW w:w="4535" w:type="dxa"/>
            <w:vAlign w:val="center"/>
          </w:tcPr>
          <w:p>
            <w:pPr>
              <w:pStyle w:val="2"/>
            </w:pPr>
            <w:r>
              <w:t>一、一般公共服务支出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五、单位资金</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r>
              <w:t>1111.12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三十一、往来性支出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1111.12</w:t>
            </w:r>
          </w:p>
        </w:tc>
        <w:tc>
          <w:tcPr>
            <w:tcW w:w="4535" w:type="dxa"/>
            <w:vAlign w:val="center"/>
          </w:tcPr>
          <w:p>
            <w:pPr>
              <w:pStyle w:val="6"/>
            </w:pPr>
            <w:r>
              <w:t>本年支出合计</w:t>
            </w:r>
          </w:p>
        </w:tc>
        <w:tc>
          <w:tcPr>
            <w:tcW w:w="2126" w:type="dxa"/>
            <w:vAlign w:val="center"/>
          </w:tcPr>
          <w:p>
            <w:pPr>
              <w:pStyle w:val="7"/>
            </w:pPr>
            <w:r>
              <w:t>1111.12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p>
        </w:tc>
        <w:tc>
          <w:tcPr>
            <w:tcW w:w="4535" w:type="dxa"/>
            <w:vAlign w:val="center"/>
          </w:tcPr>
          <w:p>
            <w:pPr>
              <w:pStyle w:val="2"/>
            </w:pPr>
            <w:r>
              <w:t>年终结转结余</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1111.12</w:t>
            </w:r>
          </w:p>
        </w:tc>
        <w:tc>
          <w:tcPr>
            <w:tcW w:w="4535" w:type="dxa"/>
            <w:vAlign w:val="center"/>
          </w:tcPr>
          <w:p>
            <w:pPr>
              <w:pStyle w:val="6"/>
            </w:pPr>
            <w:r>
              <w:t>支出总计</w:t>
            </w:r>
          </w:p>
        </w:tc>
        <w:tc>
          <w:tcPr>
            <w:tcW w:w="2126" w:type="dxa"/>
            <w:vAlign w:val="center"/>
          </w:tcPr>
          <w:p>
            <w:pPr>
              <w:pStyle w:val="7"/>
            </w:pPr>
            <w:r>
              <w:t>1111.12</w:t>
            </w:r>
          </w:p>
        </w:tc>
      </w:tr>
    </w:tbl>
    <w:p>
      <w:pPr>
        <w:sectPr>
          <w:footerReference w:type="default" r:id="rId5"/>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401006承德市第三幼儿园</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附属单位上缴收入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1111.12</w:t>
            </w:r>
          </w:p>
        </w:tc>
        <w:tc>
          <w:tcPr>
            <w:tcW w:w="1134" w:type="dxa"/>
            <w:vAlign w:val="center"/>
          </w:tcPr>
          <w:p>
            <w:pPr>
              <w:pStyle w:val="7"/>
            </w:pPr>
            <w:r>
              <w:t>1111.12</w:t>
            </w:r>
          </w:p>
        </w:tc>
        <w:tc>
          <w:tcPr>
            <w:tcW w:w="1134" w:type="dxa"/>
            <w:vAlign w:val="center"/>
          </w:tcPr>
          <w:p>
            <w:pPr>
              <w:pStyle w:val="7"/>
            </w:pPr>
            <w:r>
              <w:t>1111.12</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205</w:t>
            </w:r>
          </w:p>
        </w:tc>
        <w:tc>
          <w:tcPr>
            <w:tcW w:w="1559" w:type="dxa"/>
            <w:vAlign w:val="center"/>
          </w:tcPr>
          <w:p>
            <w:pPr>
              <w:pStyle w:val="2"/>
            </w:pPr>
            <w:r>
              <w:t>教育支出</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20502</w:t>
            </w:r>
          </w:p>
        </w:tc>
        <w:tc>
          <w:tcPr>
            <w:tcW w:w="1559" w:type="dxa"/>
            <w:vAlign w:val="center"/>
          </w:tcPr>
          <w:p>
            <w:pPr>
              <w:pStyle w:val="2"/>
            </w:pPr>
            <w:r>
              <w:t>普通教育</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2050201</w:t>
            </w:r>
          </w:p>
        </w:tc>
        <w:tc>
          <w:tcPr>
            <w:tcW w:w="1559" w:type="dxa"/>
            <w:vAlign w:val="center"/>
          </w:tcPr>
          <w:p>
            <w:pPr>
              <w:pStyle w:val="2"/>
            </w:pPr>
            <w:r>
              <w:t>学前教育</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r>
              <w:t>1111.12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对附属单位补助支出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1111.12</w:t>
            </w:r>
          </w:p>
        </w:tc>
        <w:tc>
          <w:tcPr>
            <w:tcW w:w="1361" w:type="dxa"/>
            <w:vAlign w:val="center"/>
          </w:tcPr>
          <w:p>
            <w:pPr>
              <w:pStyle w:val="7"/>
            </w:pPr>
            <w:r>
              <w:t>1038.12</w:t>
            </w:r>
          </w:p>
        </w:tc>
        <w:tc>
          <w:tcPr>
            <w:tcW w:w="1361" w:type="dxa"/>
            <w:vAlign w:val="center"/>
          </w:tcPr>
          <w:p>
            <w:pPr>
              <w:pStyle w:val="7"/>
            </w:pPr>
            <w:r>
              <w:t>73.00</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205</w:t>
            </w:r>
          </w:p>
        </w:tc>
        <w:tc>
          <w:tcPr>
            <w:tcW w:w="4535" w:type="dxa"/>
            <w:vAlign w:val="center"/>
          </w:tcPr>
          <w:p>
            <w:pPr>
              <w:pStyle w:val="2"/>
            </w:pPr>
            <w:r>
              <w:t>教育支出</w:t>
            </w:r>
          </w:p>
        </w:tc>
        <w:tc>
          <w:tcPr>
            <w:tcW w:w="1361" w:type="dxa"/>
            <w:vAlign w:val="center"/>
          </w:tcPr>
          <w:p>
            <w:pPr>
              <w:pStyle w:val="4"/>
            </w:pPr>
            <w:r>
              <w:t>1111.12</w:t>
            </w:r>
          </w:p>
        </w:tc>
        <w:tc>
          <w:tcPr>
            <w:tcW w:w="1361" w:type="dxa"/>
            <w:vAlign w:val="center"/>
          </w:tcPr>
          <w:p>
            <w:pPr>
              <w:pStyle w:val="4"/>
            </w:pPr>
            <w:r>
              <w:t>1038.12</w:t>
            </w:r>
          </w:p>
        </w:tc>
        <w:tc>
          <w:tcPr>
            <w:tcW w:w="1361" w:type="dxa"/>
            <w:vAlign w:val="center"/>
          </w:tcPr>
          <w:p>
            <w:pPr>
              <w:pStyle w:val="4"/>
            </w:pPr>
            <w:r>
              <w:t>73.00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20502</w:t>
            </w:r>
          </w:p>
        </w:tc>
        <w:tc>
          <w:tcPr>
            <w:tcW w:w="4535" w:type="dxa"/>
            <w:vAlign w:val="center"/>
          </w:tcPr>
          <w:p>
            <w:pPr>
              <w:pStyle w:val="2"/>
            </w:pPr>
            <w:r>
              <w:t>普通教育</w:t>
            </w:r>
          </w:p>
        </w:tc>
        <w:tc>
          <w:tcPr>
            <w:tcW w:w="1361" w:type="dxa"/>
            <w:vAlign w:val="center"/>
          </w:tcPr>
          <w:p>
            <w:pPr>
              <w:pStyle w:val="4"/>
            </w:pPr>
            <w:r>
              <w:t>1111.12</w:t>
            </w:r>
          </w:p>
        </w:tc>
        <w:tc>
          <w:tcPr>
            <w:tcW w:w="1361" w:type="dxa"/>
            <w:vAlign w:val="center"/>
          </w:tcPr>
          <w:p>
            <w:pPr>
              <w:pStyle w:val="4"/>
            </w:pPr>
            <w:r>
              <w:t>1038.12</w:t>
            </w:r>
          </w:p>
        </w:tc>
        <w:tc>
          <w:tcPr>
            <w:tcW w:w="1361" w:type="dxa"/>
            <w:vAlign w:val="center"/>
          </w:tcPr>
          <w:p>
            <w:pPr>
              <w:pStyle w:val="4"/>
            </w:pPr>
            <w:r>
              <w:t>73.00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2050201</w:t>
            </w:r>
          </w:p>
        </w:tc>
        <w:tc>
          <w:tcPr>
            <w:tcW w:w="4535" w:type="dxa"/>
            <w:vAlign w:val="center"/>
          </w:tcPr>
          <w:p>
            <w:pPr>
              <w:pStyle w:val="2"/>
            </w:pPr>
            <w:r>
              <w:t>学前教育</w:t>
            </w:r>
          </w:p>
        </w:tc>
        <w:tc>
          <w:tcPr>
            <w:tcW w:w="1361" w:type="dxa"/>
            <w:vAlign w:val="center"/>
          </w:tcPr>
          <w:p>
            <w:pPr>
              <w:pStyle w:val="4"/>
            </w:pPr>
            <w:r>
              <w:t>1111.12</w:t>
            </w:r>
          </w:p>
        </w:tc>
        <w:tc>
          <w:tcPr>
            <w:tcW w:w="1361" w:type="dxa"/>
            <w:vAlign w:val="center"/>
          </w:tcPr>
          <w:p>
            <w:pPr>
              <w:pStyle w:val="4"/>
            </w:pPr>
            <w:r>
              <w:t>1038.12</w:t>
            </w:r>
          </w:p>
        </w:tc>
        <w:tc>
          <w:tcPr>
            <w:tcW w:w="1361" w:type="dxa"/>
            <w:vAlign w:val="center"/>
          </w:tcPr>
          <w:p>
            <w:pPr>
              <w:pStyle w:val="4"/>
            </w:pPr>
            <w:r>
              <w:t>73.00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3402" w:type="dxa"/>
            <w:tcBorders>
              <w:top w:val="single" w:sz="6" w:space="0" w:color="FFFFFF"/>
              <w:left w:val="single" w:sz="6" w:space="0" w:color="FFFFFF"/>
              <w:right w:val="single" w:sz="6" w:space="0" w:color="FFFFFF"/>
            </w:tcBorders>
            <w:vAlign w:val="center"/>
          </w:tcPr>
          <w:p>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4876" w:type="dxa"/>
            <w:gridSpan w:val="2"/>
            <w:vAlign w:val="center"/>
          </w:tcPr>
          <w:p>
            <w:pPr>
              <w:pStyle w:val="1"/>
            </w:pPr>
            <w:r>
              <w:t>收入</w:t>
            </w:r>
          </w:p>
        </w:tc>
        <w:tc>
          <w:tcPr>
            <w:tcW w:w="9298" w:type="dxa"/>
            <w:gridSpan w:val="5"/>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3402" w:type="dxa"/>
            <w:vAlign w:val="center"/>
          </w:tcPr>
          <w:p>
            <w:pPr>
              <w:pStyle w:val="1"/>
            </w:pPr>
            <w:r>
              <w:t>项  目</w:t>
            </w:r>
          </w:p>
        </w:tc>
        <w:tc>
          <w:tcPr>
            <w:tcW w:w="1474" w:type="dxa"/>
            <w:vAlign w:val="center"/>
          </w:tcPr>
          <w:p>
            <w:pPr>
              <w:pStyle w:val="1"/>
            </w:pPr>
            <w:r>
              <w:t>金额</w:t>
            </w:r>
          </w:p>
        </w:tc>
        <w:tc>
          <w:tcPr>
            <w:tcW w:w="3402" w:type="dxa"/>
            <w:vAlign w:val="center"/>
          </w:tcPr>
          <w:p>
            <w:pPr>
              <w:pStyle w:val="1"/>
            </w:pPr>
            <w:r>
              <w:t>项  目</w:t>
            </w:r>
          </w:p>
        </w:tc>
        <w:tc>
          <w:tcPr>
            <w:tcW w:w="1474" w:type="dxa"/>
            <w:vAlign w:val="center"/>
          </w:tcPr>
          <w:p>
            <w:pPr>
              <w:pStyle w:val="1"/>
            </w:pPr>
            <w:r>
              <w:t>合计</w:t>
            </w:r>
          </w:p>
        </w:tc>
        <w:tc>
          <w:tcPr>
            <w:tcW w:w="1474" w:type="dxa"/>
            <w:vAlign w:val="center"/>
          </w:tcPr>
          <w:p>
            <w:pPr>
              <w:pStyle w:val="1"/>
            </w:pPr>
            <w:r>
              <w:t>一般公共预算财政拨款</w:t>
            </w:r>
          </w:p>
        </w:tc>
        <w:tc>
          <w:tcPr>
            <w:tcW w:w="1474" w:type="dxa"/>
            <w:vAlign w:val="center"/>
          </w:tcPr>
          <w:p>
            <w:pPr>
              <w:pStyle w:val="1"/>
            </w:pPr>
            <w:r>
              <w:t>政府性基金预算财政    拨款</w:t>
            </w:r>
          </w:p>
        </w:tc>
        <w:tc>
          <w:tcPr>
            <w:tcW w:w="1474" w:type="dxa"/>
            <w:vAlign w:val="center"/>
          </w:tcPr>
          <w:p>
            <w:pPr>
              <w:pStyle w:val="1"/>
            </w:pPr>
            <w:r>
              <w:t>国有资本经营预算财政拨款</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3402" w:type="dxa"/>
            <w:vAlign w:val="center"/>
          </w:tcPr>
          <w:p>
            <w:pPr>
              <w:pStyle w:val="1"/>
            </w:pPr>
            <w:r>
              <w:t>1</w:t>
            </w:r>
          </w:p>
        </w:tc>
        <w:tc>
          <w:tcPr>
            <w:tcW w:w="1474" w:type="dxa"/>
            <w:vAlign w:val="center"/>
          </w:tcPr>
          <w:p>
            <w:pPr>
              <w:pStyle w:val="1"/>
            </w:pPr>
            <w:r>
              <w:t>2</w:t>
            </w:r>
          </w:p>
        </w:tc>
        <w:tc>
          <w:tcPr>
            <w:tcW w:w="3402" w:type="dxa"/>
            <w:vAlign w:val="center"/>
          </w:tcPr>
          <w:p>
            <w:pPr>
              <w:pStyle w:val="1"/>
            </w:pPr>
            <w:r>
              <w:t>3</w:t>
            </w:r>
          </w:p>
        </w:tc>
        <w:tc>
          <w:tcPr>
            <w:tcW w:w="1474" w:type="dxa"/>
            <w:vAlign w:val="center"/>
          </w:tcPr>
          <w:p>
            <w:pPr>
              <w:pStyle w:val="1"/>
            </w:pPr>
            <w:r>
              <w:t>4</w:t>
            </w:r>
          </w:p>
        </w:tc>
        <w:tc>
          <w:tcPr>
            <w:tcW w:w="1474" w:type="dxa"/>
            <w:vAlign w:val="center"/>
          </w:tcPr>
          <w:p>
            <w:pPr>
              <w:pStyle w:val="1"/>
            </w:pPr>
            <w:r>
              <w:t>5</w:t>
            </w:r>
          </w:p>
        </w:tc>
        <w:tc>
          <w:tcPr>
            <w:tcW w:w="1474" w:type="dxa"/>
            <w:vAlign w:val="center"/>
          </w:tcPr>
          <w:p>
            <w:pPr>
              <w:pStyle w:val="1"/>
            </w:pPr>
            <w:r>
              <w:t>6</w:t>
            </w:r>
          </w:p>
        </w:tc>
        <w:tc>
          <w:tcPr>
            <w:tcW w:w="1474" w:type="dxa"/>
            <w:vAlign w:val="center"/>
          </w:tcPr>
          <w:p>
            <w:pPr>
              <w:pStyle w:val="1"/>
            </w:pPr>
            <w:r>
              <w:t>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3402" w:type="dxa"/>
            <w:vAlign w:val="center"/>
          </w:tcPr>
          <w:p>
            <w:pPr>
              <w:pStyle w:val="2"/>
            </w:pPr>
            <w:r>
              <w:t>一、一般公共预算拨款</w:t>
            </w:r>
          </w:p>
        </w:tc>
        <w:tc>
          <w:tcPr>
            <w:tcW w:w="1474" w:type="dxa"/>
            <w:vAlign w:val="center"/>
          </w:tcPr>
          <w:p>
            <w:pPr>
              <w:pStyle w:val="4"/>
            </w:pPr>
            <w:r>
              <w:t>1111.12</w:t>
            </w:r>
          </w:p>
        </w:tc>
        <w:tc>
          <w:tcPr>
            <w:tcW w:w="3402" w:type="dxa"/>
            <w:vAlign w:val="center"/>
          </w:tcPr>
          <w:p>
            <w:pPr>
              <w:pStyle w:val="2"/>
            </w:pPr>
            <w:r>
              <w:t>一、一般公共服务支出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r>
              <w:t>二、外交支出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r>
              <w:t>三、国防支出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四、公共安全支出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五、教育支出</w:t>
            </w:r>
          </w:p>
        </w:tc>
        <w:tc>
          <w:tcPr>
            <w:tcW w:w="1474" w:type="dxa"/>
            <w:vAlign w:val="center"/>
          </w:tcPr>
          <w:p>
            <w:pPr>
              <w:pStyle w:val="4"/>
            </w:pPr>
            <w:r>
              <w:t>1111.12</w:t>
            </w:r>
          </w:p>
        </w:tc>
        <w:tc>
          <w:tcPr>
            <w:tcW w:w="1474" w:type="dxa"/>
            <w:vAlign w:val="center"/>
          </w:tcPr>
          <w:p>
            <w:pPr>
              <w:pStyle w:val="4"/>
            </w:pPr>
            <w:r>
              <w:t>1111.12</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六、科学技术支出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七、文化旅游体育与传媒支出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八、社会保障和就业支出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九、社会保险基金支出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十、卫生健康支出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十一、节能环保支出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十二、城乡社区支出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十三、农林水支出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十四、交通运输支出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十五、资源勘探工业信息等支出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十六、商业服务业等支出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十七、金融支出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十八、援助其他地区支出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十九、自然资源海洋气象等支出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二十、住房保障支出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二十一、粮油物资储备支出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二十二、国有资本经营预算支出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二十三、灾害防治及应急管理支出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二十四、预备费</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二十五、其他支出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二十六、转移性支出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二十七、债务还本支出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二十八、债务付息支出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二十九、债务发行费用支出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三十、抗疫特别国债安排的支出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三十一、往来性支出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3402" w:type="dxa"/>
            <w:vAlign w:val="center"/>
          </w:tcPr>
          <w:p>
            <w:pPr>
              <w:pStyle w:val="6"/>
            </w:pPr>
            <w:r>
              <w:t>本年收入合计</w:t>
            </w:r>
          </w:p>
        </w:tc>
        <w:tc>
          <w:tcPr>
            <w:tcW w:w="1474" w:type="dxa"/>
            <w:vAlign w:val="center"/>
          </w:tcPr>
          <w:p>
            <w:pPr>
              <w:pStyle w:val="7"/>
            </w:pPr>
            <w:r>
              <w:t>1111.12</w:t>
            </w:r>
          </w:p>
        </w:tc>
        <w:tc>
          <w:tcPr>
            <w:tcW w:w="3402" w:type="dxa"/>
            <w:vAlign w:val="center"/>
          </w:tcPr>
          <w:p>
            <w:pPr>
              <w:pStyle w:val="6"/>
            </w:pPr>
            <w:r>
              <w:t>本年支出合计</w:t>
            </w:r>
          </w:p>
        </w:tc>
        <w:tc>
          <w:tcPr>
            <w:tcW w:w="1474" w:type="dxa"/>
            <w:vAlign w:val="center"/>
          </w:tcPr>
          <w:p>
            <w:pPr>
              <w:pStyle w:val="7"/>
            </w:pPr>
            <w:r>
              <w:t>1111.12</w:t>
            </w:r>
          </w:p>
        </w:tc>
        <w:tc>
          <w:tcPr>
            <w:tcW w:w="1474" w:type="dxa"/>
            <w:vAlign w:val="center"/>
          </w:tcPr>
          <w:p>
            <w:pPr>
              <w:pStyle w:val="7"/>
            </w:pPr>
            <w:r>
              <w:t>1111.12</w:t>
            </w:r>
          </w:p>
        </w:tc>
        <w:tc>
          <w:tcPr>
            <w:tcW w:w="1474" w:type="dxa"/>
            <w:vAlign w:val="center"/>
          </w:tcPr>
          <w:p>
            <w:pPr>
              <w:pStyle w:val="7"/>
            </w:pPr>
          </w:p>
        </w:tc>
        <w:tc>
          <w:tcPr>
            <w:tcW w:w="1474"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3402" w:type="dxa"/>
            <w:vAlign w:val="center"/>
          </w:tcPr>
          <w:p>
            <w:pPr>
              <w:pStyle w:val="2"/>
            </w:pPr>
            <w:r>
              <w:t>年初财政拨款结转和结余</w:t>
            </w:r>
          </w:p>
        </w:tc>
        <w:tc>
          <w:tcPr>
            <w:tcW w:w="1474" w:type="dxa"/>
            <w:vAlign w:val="center"/>
          </w:tcPr>
          <w:p>
            <w:pPr>
              <w:pStyle w:val="4"/>
            </w:pPr>
          </w:p>
        </w:tc>
        <w:tc>
          <w:tcPr>
            <w:tcW w:w="3402" w:type="dxa"/>
            <w:vAlign w:val="center"/>
          </w:tcPr>
          <w:p>
            <w:pPr>
              <w:pStyle w:val="2"/>
            </w:pPr>
            <w:r>
              <w:t>年末财政拨款结转和结余</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3402" w:type="dxa"/>
            <w:vAlign w:val="center"/>
          </w:tcPr>
          <w:p>
            <w:pPr>
              <w:pStyle w:val="2"/>
            </w:pPr>
            <w:r>
              <w:t>一、一般公共预算拨款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3402" w:type="dxa"/>
            <w:vAlign w:val="center"/>
          </w:tcPr>
          <w:p>
            <w:pPr>
              <w:pStyle w:val="6"/>
            </w:pPr>
            <w:r>
              <w:t>收入总计</w:t>
            </w:r>
          </w:p>
        </w:tc>
        <w:tc>
          <w:tcPr>
            <w:tcW w:w="1474" w:type="dxa"/>
            <w:vAlign w:val="center"/>
          </w:tcPr>
          <w:p>
            <w:pPr>
              <w:pStyle w:val="7"/>
            </w:pPr>
            <w:r>
              <w:t>1111.12</w:t>
            </w:r>
          </w:p>
        </w:tc>
        <w:tc>
          <w:tcPr>
            <w:tcW w:w="3402" w:type="dxa"/>
            <w:vAlign w:val="center"/>
          </w:tcPr>
          <w:p>
            <w:pPr>
              <w:pStyle w:val="6"/>
            </w:pPr>
            <w:r>
              <w:t>支出总计</w:t>
            </w:r>
          </w:p>
        </w:tc>
        <w:tc>
          <w:tcPr>
            <w:tcW w:w="1474" w:type="dxa"/>
            <w:vAlign w:val="center"/>
          </w:tcPr>
          <w:p>
            <w:pPr>
              <w:pStyle w:val="7"/>
            </w:pPr>
            <w:r>
              <w:t>1111.12</w:t>
            </w:r>
          </w:p>
        </w:tc>
        <w:tc>
          <w:tcPr>
            <w:tcW w:w="1474" w:type="dxa"/>
            <w:vAlign w:val="center"/>
          </w:tcPr>
          <w:p>
            <w:pPr>
              <w:pStyle w:val="7"/>
            </w:pPr>
            <w:r>
              <w:t>1111.12</w:t>
            </w:r>
          </w:p>
        </w:tc>
        <w:tc>
          <w:tcPr>
            <w:tcW w:w="1474" w:type="dxa"/>
            <w:vAlign w:val="center"/>
          </w:tcPr>
          <w:p>
            <w:pPr>
              <w:pStyle w:val="7"/>
            </w:pPr>
          </w:p>
        </w:tc>
        <w:tc>
          <w:tcPr>
            <w:tcW w:w="1474" w:type="dxa"/>
            <w:vAlign w:val="center"/>
          </w:tcPr>
          <w:p>
            <w:pPr>
              <w:pStyle w:val="7"/>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1111.12</w:t>
            </w:r>
          </w:p>
        </w:tc>
        <w:tc>
          <w:tcPr>
            <w:tcW w:w="2551" w:type="dxa"/>
            <w:vAlign w:val="center"/>
          </w:tcPr>
          <w:p>
            <w:pPr>
              <w:pStyle w:val="7"/>
            </w:pPr>
            <w:r>
              <w:t>1038.12</w:t>
            </w:r>
          </w:p>
        </w:tc>
        <w:tc>
          <w:tcPr>
            <w:tcW w:w="2551" w:type="dxa"/>
            <w:vAlign w:val="center"/>
          </w:tcPr>
          <w:p>
            <w:pPr>
              <w:pStyle w:val="7"/>
            </w:pPr>
            <w:r>
              <w:t>73.00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205</w:t>
            </w:r>
          </w:p>
        </w:tc>
        <w:tc>
          <w:tcPr>
            <w:tcW w:w="4535" w:type="dxa"/>
            <w:vAlign w:val="center"/>
          </w:tcPr>
          <w:p>
            <w:pPr>
              <w:pStyle w:val="2"/>
            </w:pPr>
            <w:r>
              <w:t>教育支出</w:t>
            </w:r>
          </w:p>
        </w:tc>
        <w:tc>
          <w:tcPr>
            <w:tcW w:w="2551" w:type="dxa"/>
            <w:vAlign w:val="center"/>
          </w:tcPr>
          <w:p>
            <w:pPr>
              <w:pStyle w:val="4"/>
            </w:pPr>
            <w:r>
              <w:t>1111.12</w:t>
            </w:r>
          </w:p>
        </w:tc>
        <w:tc>
          <w:tcPr>
            <w:tcW w:w="2551" w:type="dxa"/>
            <w:vAlign w:val="center"/>
          </w:tcPr>
          <w:p>
            <w:pPr>
              <w:pStyle w:val="4"/>
            </w:pPr>
            <w:r>
              <w:t>1038.12</w:t>
            </w:r>
          </w:p>
        </w:tc>
        <w:tc>
          <w:tcPr>
            <w:tcW w:w="2551" w:type="dxa"/>
            <w:vAlign w:val="center"/>
          </w:tcPr>
          <w:p>
            <w:pPr>
              <w:pStyle w:val="4"/>
            </w:pPr>
            <w:r>
              <w:t>73.00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20502</w:t>
            </w:r>
          </w:p>
        </w:tc>
        <w:tc>
          <w:tcPr>
            <w:tcW w:w="4535" w:type="dxa"/>
            <w:vAlign w:val="center"/>
          </w:tcPr>
          <w:p>
            <w:pPr>
              <w:pStyle w:val="2"/>
            </w:pPr>
            <w:r>
              <w:t>普通教育</w:t>
            </w:r>
          </w:p>
        </w:tc>
        <w:tc>
          <w:tcPr>
            <w:tcW w:w="2551" w:type="dxa"/>
            <w:vAlign w:val="center"/>
          </w:tcPr>
          <w:p>
            <w:pPr>
              <w:pStyle w:val="4"/>
            </w:pPr>
            <w:r>
              <w:t>1111.12</w:t>
            </w:r>
          </w:p>
        </w:tc>
        <w:tc>
          <w:tcPr>
            <w:tcW w:w="2551" w:type="dxa"/>
            <w:vAlign w:val="center"/>
          </w:tcPr>
          <w:p>
            <w:pPr>
              <w:pStyle w:val="4"/>
            </w:pPr>
            <w:r>
              <w:t>1038.12</w:t>
            </w:r>
          </w:p>
        </w:tc>
        <w:tc>
          <w:tcPr>
            <w:tcW w:w="2551" w:type="dxa"/>
            <w:vAlign w:val="center"/>
          </w:tcPr>
          <w:p>
            <w:pPr>
              <w:pStyle w:val="4"/>
            </w:pPr>
            <w:r>
              <w:t>73.00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2050201</w:t>
            </w:r>
          </w:p>
        </w:tc>
        <w:tc>
          <w:tcPr>
            <w:tcW w:w="4535" w:type="dxa"/>
            <w:vAlign w:val="center"/>
          </w:tcPr>
          <w:p>
            <w:pPr>
              <w:pStyle w:val="2"/>
            </w:pPr>
            <w:r>
              <w:t>学前教育</w:t>
            </w:r>
          </w:p>
        </w:tc>
        <w:tc>
          <w:tcPr>
            <w:tcW w:w="2551" w:type="dxa"/>
            <w:vAlign w:val="center"/>
          </w:tcPr>
          <w:p>
            <w:pPr>
              <w:pStyle w:val="4"/>
            </w:pPr>
            <w:r>
              <w:t>1111.12</w:t>
            </w:r>
          </w:p>
        </w:tc>
        <w:tc>
          <w:tcPr>
            <w:tcW w:w="2551" w:type="dxa"/>
            <w:vAlign w:val="center"/>
          </w:tcPr>
          <w:p>
            <w:pPr>
              <w:pStyle w:val="4"/>
            </w:pPr>
            <w:r>
              <w:t>1038.12</w:t>
            </w:r>
          </w:p>
        </w:tc>
        <w:tc>
          <w:tcPr>
            <w:tcW w:w="2551" w:type="dxa"/>
            <w:vAlign w:val="center"/>
          </w:tcPr>
          <w:p>
            <w:pPr>
              <w:pStyle w:val="4"/>
            </w:pPr>
            <w:r>
              <w:t>73.00</w:t>
            </w: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支出部门经济分类科目</w:t>
            </w:r>
          </w:p>
        </w:tc>
        <w:tc>
          <w:tcPr>
            <w:tcW w:w="7654" w:type="dxa"/>
            <w:gridSpan w:val="3"/>
            <w:vAlign w:val="center"/>
          </w:tcPr>
          <w:p>
            <w:pPr>
              <w:pStyle w:val="1"/>
            </w:pPr>
            <w:r>
              <w:t>一般公共预算基本支出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Align w:val="center"/>
          </w:tcPr>
          <w:p>
            <w:pPr>
              <w:pStyle w:val="1"/>
            </w:pPr>
            <w:r>
              <w:t>合计</w:t>
            </w:r>
          </w:p>
        </w:tc>
        <w:tc>
          <w:tcPr>
            <w:tcW w:w="2551" w:type="dxa"/>
            <w:vAlign w:val="center"/>
          </w:tcPr>
          <w:p>
            <w:pPr>
              <w:pStyle w:val="1"/>
            </w:pPr>
            <w:r>
              <w:t>人员经费</w:t>
            </w:r>
          </w:p>
        </w:tc>
        <w:tc>
          <w:tcPr>
            <w:tcW w:w="2551" w:type="dxa"/>
            <w:vAlign w:val="center"/>
          </w:tcPr>
          <w:p>
            <w:pPr>
              <w:pStyle w:val="1"/>
            </w:pPr>
            <w:r>
              <w:t>公用经费</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1038.12</w:t>
            </w:r>
          </w:p>
        </w:tc>
        <w:tc>
          <w:tcPr>
            <w:tcW w:w="2551" w:type="dxa"/>
            <w:vAlign w:val="center"/>
          </w:tcPr>
          <w:p>
            <w:pPr>
              <w:pStyle w:val="7"/>
            </w:pPr>
            <w:r>
              <w:t>1003.12</w:t>
            </w:r>
          </w:p>
        </w:tc>
        <w:tc>
          <w:tcPr>
            <w:tcW w:w="2551" w:type="dxa"/>
            <w:vAlign w:val="center"/>
          </w:tcPr>
          <w:p>
            <w:pPr>
              <w:pStyle w:val="7"/>
            </w:pPr>
            <w:r>
              <w:t>35.00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301</w:t>
            </w:r>
          </w:p>
        </w:tc>
        <w:tc>
          <w:tcPr>
            <w:tcW w:w="4535" w:type="dxa"/>
            <w:vAlign w:val="center"/>
          </w:tcPr>
          <w:p>
            <w:pPr>
              <w:pStyle w:val="2"/>
            </w:pPr>
            <w:r>
              <w:t>工资福利支出</w:t>
            </w:r>
          </w:p>
        </w:tc>
        <w:tc>
          <w:tcPr>
            <w:tcW w:w="2551" w:type="dxa"/>
            <w:vAlign w:val="center"/>
          </w:tcPr>
          <w:p>
            <w:pPr>
              <w:pStyle w:val="4"/>
            </w:pPr>
            <w:r>
              <w:t>933.73</w:t>
            </w:r>
          </w:p>
        </w:tc>
        <w:tc>
          <w:tcPr>
            <w:tcW w:w="2551" w:type="dxa"/>
            <w:vAlign w:val="center"/>
          </w:tcPr>
          <w:p>
            <w:pPr>
              <w:pStyle w:val="4"/>
            </w:pPr>
            <w:r>
              <w:t>933.73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30101</w:t>
            </w:r>
          </w:p>
        </w:tc>
        <w:tc>
          <w:tcPr>
            <w:tcW w:w="4535" w:type="dxa"/>
            <w:vAlign w:val="center"/>
          </w:tcPr>
          <w:p>
            <w:pPr>
              <w:pStyle w:val="2"/>
            </w:pPr>
            <w:r>
              <w:t>基本工资</w:t>
            </w:r>
          </w:p>
        </w:tc>
        <w:tc>
          <w:tcPr>
            <w:tcW w:w="2551" w:type="dxa"/>
            <w:vAlign w:val="center"/>
          </w:tcPr>
          <w:p>
            <w:pPr>
              <w:pStyle w:val="4"/>
            </w:pPr>
            <w:r>
              <w:t>314.05</w:t>
            </w:r>
          </w:p>
        </w:tc>
        <w:tc>
          <w:tcPr>
            <w:tcW w:w="2551" w:type="dxa"/>
            <w:vAlign w:val="center"/>
          </w:tcPr>
          <w:p>
            <w:pPr>
              <w:pStyle w:val="4"/>
            </w:pPr>
            <w:r>
              <w:t>314.05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30102</w:t>
            </w:r>
          </w:p>
        </w:tc>
        <w:tc>
          <w:tcPr>
            <w:tcW w:w="4535" w:type="dxa"/>
            <w:vAlign w:val="center"/>
          </w:tcPr>
          <w:p>
            <w:pPr>
              <w:pStyle w:val="2"/>
            </w:pPr>
            <w:r>
              <w:t>津贴补贴</w:t>
            </w:r>
          </w:p>
        </w:tc>
        <w:tc>
          <w:tcPr>
            <w:tcW w:w="2551" w:type="dxa"/>
            <w:vAlign w:val="center"/>
          </w:tcPr>
          <w:p>
            <w:pPr>
              <w:pStyle w:val="4"/>
            </w:pPr>
            <w:r>
              <w:t>55.99</w:t>
            </w:r>
          </w:p>
        </w:tc>
        <w:tc>
          <w:tcPr>
            <w:tcW w:w="2551" w:type="dxa"/>
            <w:vAlign w:val="center"/>
          </w:tcPr>
          <w:p>
            <w:pPr>
              <w:pStyle w:val="4"/>
            </w:pPr>
            <w:r>
              <w:t>55.99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30107</w:t>
            </w:r>
          </w:p>
        </w:tc>
        <w:tc>
          <w:tcPr>
            <w:tcW w:w="4535" w:type="dxa"/>
            <w:vAlign w:val="center"/>
          </w:tcPr>
          <w:p>
            <w:pPr>
              <w:pStyle w:val="2"/>
            </w:pPr>
            <w:r>
              <w:t>绩效工资</w:t>
            </w:r>
          </w:p>
        </w:tc>
        <w:tc>
          <w:tcPr>
            <w:tcW w:w="2551" w:type="dxa"/>
            <w:vAlign w:val="center"/>
          </w:tcPr>
          <w:p>
            <w:pPr>
              <w:pStyle w:val="4"/>
            </w:pPr>
            <w:r>
              <w:t>345.13</w:t>
            </w:r>
          </w:p>
        </w:tc>
        <w:tc>
          <w:tcPr>
            <w:tcW w:w="2551" w:type="dxa"/>
            <w:vAlign w:val="center"/>
          </w:tcPr>
          <w:p>
            <w:pPr>
              <w:pStyle w:val="4"/>
            </w:pPr>
            <w:r>
              <w:t>345.13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30108</w:t>
            </w:r>
          </w:p>
        </w:tc>
        <w:tc>
          <w:tcPr>
            <w:tcW w:w="4535" w:type="dxa"/>
            <w:vAlign w:val="center"/>
          </w:tcPr>
          <w:p>
            <w:pPr>
              <w:pStyle w:val="2"/>
            </w:pPr>
            <w:r>
              <w:t>机关事业单位基本养老保险缴费</w:t>
            </w:r>
          </w:p>
        </w:tc>
        <w:tc>
          <w:tcPr>
            <w:tcW w:w="2551" w:type="dxa"/>
            <w:vAlign w:val="center"/>
          </w:tcPr>
          <w:p>
            <w:pPr>
              <w:pStyle w:val="4"/>
            </w:pPr>
            <w:r>
              <w:t>94.06</w:t>
            </w:r>
          </w:p>
        </w:tc>
        <w:tc>
          <w:tcPr>
            <w:tcW w:w="2551" w:type="dxa"/>
            <w:vAlign w:val="center"/>
          </w:tcPr>
          <w:p>
            <w:pPr>
              <w:pStyle w:val="4"/>
            </w:pPr>
            <w:r>
              <w:t>94.06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30110</w:t>
            </w:r>
          </w:p>
        </w:tc>
        <w:tc>
          <w:tcPr>
            <w:tcW w:w="4535" w:type="dxa"/>
            <w:vAlign w:val="center"/>
          </w:tcPr>
          <w:p>
            <w:pPr>
              <w:pStyle w:val="2"/>
            </w:pPr>
            <w:r>
              <w:t>职工基本医疗保险缴费</w:t>
            </w:r>
          </w:p>
        </w:tc>
        <w:tc>
          <w:tcPr>
            <w:tcW w:w="2551" w:type="dxa"/>
            <w:vAlign w:val="center"/>
          </w:tcPr>
          <w:p>
            <w:pPr>
              <w:pStyle w:val="4"/>
            </w:pPr>
            <w:r>
              <w:t>34.85</w:t>
            </w:r>
          </w:p>
        </w:tc>
        <w:tc>
          <w:tcPr>
            <w:tcW w:w="2551" w:type="dxa"/>
            <w:vAlign w:val="center"/>
          </w:tcPr>
          <w:p>
            <w:pPr>
              <w:pStyle w:val="4"/>
            </w:pPr>
            <w:r>
              <w:t>34.85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30111</w:t>
            </w:r>
          </w:p>
        </w:tc>
        <w:tc>
          <w:tcPr>
            <w:tcW w:w="4535" w:type="dxa"/>
            <w:vAlign w:val="center"/>
          </w:tcPr>
          <w:p>
            <w:pPr>
              <w:pStyle w:val="2"/>
            </w:pPr>
            <w:r>
              <w:t>公务员医疗补助缴费</w:t>
            </w:r>
          </w:p>
        </w:tc>
        <w:tc>
          <w:tcPr>
            <w:tcW w:w="2551" w:type="dxa"/>
            <w:vAlign w:val="center"/>
          </w:tcPr>
          <w:p>
            <w:pPr>
              <w:pStyle w:val="4"/>
            </w:pPr>
            <w:r>
              <w:t>5.13</w:t>
            </w:r>
          </w:p>
        </w:tc>
        <w:tc>
          <w:tcPr>
            <w:tcW w:w="2551" w:type="dxa"/>
            <w:vAlign w:val="center"/>
          </w:tcPr>
          <w:p>
            <w:pPr>
              <w:pStyle w:val="4"/>
            </w:pPr>
            <w:r>
              <w:t>5.13</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30112</w:t>
            </w:r>
          </w:p>
        </w:tc>
        <w:tc>
          <w:tcPr>
            <w:tcW w:w="4535" w:type="dxa"/>
            <w:vAlign w:val="center"/>
          </w:tcPr>
          <w:p>
            <w:pPr>
              <w:pStyle w:val="2"/>
            </w:pPr>
            <w:r>
              <w:t>其他社会保障缴费</w:t>
            </w:r>
          </w:p>
        </w:tc>
        <w:tc>
          <w:tcPr>
            <w:tcW w:w="2551" w:type="dxa"/>
            <w:vAlign w:val="center"/>
          </w:tcPr>
          <w:p>
            <w:pPr>
              <w:pStyle w:val="4"/>
            </w:pPr>
            <w:r>
              <w:t>9.55</w:t>
            </w:r>
          </w:p>
        </w:tc>
        <w:tc>
          <w:tcPr>
            <w:tcW w:w="2551" w:type="dxa"/>
            <w:vAlign w:val="center"/>
          </w:tcPr>
          <w:p>
            <w:pPr>
              <w:pStyle w:val="4"/>
            </w:pPr>
            <w:r>
              <w:t>9.55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30113</w:t>
            </w:r>
          </w:p>
        </w:tc>
        <w:tc>
          <w:tcPr>
            <w:tcW w:w="4535" w:type="dxa"/>
            <w:vAlign w:val="center"/>
          </w:tcPr>
          <w:p>
            <w:pPr>
              <w:pStyle w:val="2"/>
            </w:pPr>
            <w:r>
              <w:t>住房公积金</w:t>
            </w:r>
          </w:p>
        </w:tc>
        <w:tc>
          <w:tcPr>
            <w:tcW w:w="2551" w:type="dxa"/>
            <w:vAlign w:val="center"/>
          </w:tcPr>
          <w:p>
            <w:pPr>
              <w:pStyle w:val="4"/>
            </w:pPr>
            <w:r>
              <w:t>74.98</w:t>
            </w:r>
          </w:p>
        </w:tc>
        <w:tc>
          <w:tcPr>
            <w:tcW w:w="2551" w:type="dxa"/>
            <w:vAlign w:val="center"/>
          </w:tcPr>
          <w:p>
            <w:pPr>
              <w:pStyle w:val="4"/>
            </w:pPr>
            <w:r>
              <w:t>74.98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302</w:t>
            </w:r>
          </w:p>
        </w:tc>
        <w:tc>
          <w:tcPr>
            <w:tcW w:w="4535" w:type="dxa"/>
            <w:vAlign w:val="center"/>
          </w:tcPr>
          <w:p>
            <w:pPr>
              <w:pStyle w:val="2"/>
            </w:pPr>
            <w:r>
              <w:t>商品和服务支出</w:t>
            </w:r>
          </w:p>
        </w:tc>
        <w:tc>
          <w:tcPr>
            <w:tcW w:w="2551" w:type="dxa"/>
            <w:vAlign w:val="center"/>
          </w:tcPr>
          <w:p>
            <w:pPr>
              <w:pStyle w:val="4"/>
            </w:pPr>
            <w:r>
              <w:t>35.00</w:t>
            </w:r>
          </w:p>
        </w:tc>
        <w:tc>
          <w:tcPr>
            <w:tcW w:w="2551" w:type="dxa"/>
            <w:vAlign w:val="center"/>
          </w:tcPr>
          <w:p>
            <w:pPr>
              <w:pStyle w:val="4"/>
            </w:pPr>
          </w:p>
        </w:tc>
        <w:tc>
          <w:tcPr>
            <w:tcW w:w="2551" w:type="dxa"/>
            <w:vAlign w:val="center"/>
          </w:tcPr>
          <w:p>
            <w:pPr>
              <w:pStyle w:val="4"/>
            </w:pPr>
            <w:r>
              <w:t>35.00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30201</w:t>
            </w:r>
          </w:p>
        </w:tc>
        <w:tc>
          <w:tcPr>
            <w:tcW w:w="4535" w:type="dxa"/>
            <w:vAlign w:val="center"/>
          </w:tcPr>
          <w:p>
            <w:pPr>
              <w:pStyle w:val="2"/>
            </w:pPr>
            <w:r>
              <w:t>办公费</w:t>
            </w:r>
          </w:p>
        </w:tc>
        <w:tc>
          <w:tcPr>
            <w:tcW w:w="2551" w:type="dxa"/>
            <w:vAlign w:val="center"/>
          </w:tcPr>
          <w:p>
            <w:pPr>
              <w:pStyle w:val="4"/>
            </w:pPr>
            <w:r>
              <w:t>6.90</w:t>
            </w:r>
          </w:p>
        </w:tc>
        <w:tc>
          <w:tcPr>
            <w:tcW w:w="2551" w:type="dxa"/>
            <w:vAlign w:val="center"/>
          </w:tcPr>
          <w:p>
            <w:pPr>
              <w:pStyle w:val="4"/>
            </w:pPr>
          </w:p>
        </w:tc>
        <w:tc>
          <w:tcPr>
            <w:tcW w:w="2551" w:type="dxa"/>
            <w:vAlign w:val="center"/>
          </w:tcPr>
          <w:p>
            <w:pPr>
              <w:pStyle w:val="4"/>
            </w:pPr>
            <w:r>
              <w:t>6.90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30207</w:t>
            </w:r>
          </w:p>
        </w:tc>
        <w:tc>
          <w:tcPr>
            <w:tcW w:w="4535" w:type="dxa"/>
            <w:vAlign w:val="center"/>
          </w:tcPr>
          <w:p>
            <w:pPr>
              <w:pStyle w:val="2"/>
            </w:pPr>
            <w:r>
              <w:t>邮电费</w:t>
            </w:r>
          </w:p>
        </w:tc>
        <w:tc>
          <w:tcPr>
            <w:tcW w:w="2551" w:type="dxa"/>
            <w:vAlign w:val="center"/>
          </w:tcPr>
          <w:p>
            <w:pPr>
              <w:pStyle w:val="4"/>
            </w:pPr>
            <w:r>
              <w:t>2.00</w:t>
            </w:r>
          </w:p>
        </w:tc>
        <w:tc>
          <w:tcPr>
            <w:tcW w:w="2551" w:type="dxa"/>
            <w:vAlign w:val="center"/>
          </w:tcPr>
          <w:p>
            <w:pPr>
              <w:pStyle w:val="4"/>
            </w:pPr>
          </w:p>
        </w:tc>
        <w:tc>
          <w:tcPr>
            <w:tcW w:w="2551" w:type="dxa"/>
            <w:vAlign w:val="center"/>
          </w:tcPr>
          <w:p>
            <w:pPr>
              <w:pStyle w:val="4"/>
            </w:pPr>
            <w:r>
              <w:t>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30208</w:t>
            </w:r>
          </w:p>
        </w:tc>
        <w:tc>
          <w:tcPr>
            <w:tcW w:w="4535" w:type="dxa"/>
            <w:vAlign w:val="center"/>
          </w:tcPr>
          <w:p>
            <w:pPr>
              <w:pStyle w:val="2"/>
            </w:pPr>
            <w:r>
              <w:t>取暖费</w:t>
            </w:r>
          </w:p>
        </w:tc>
        <w:tc>
          <w:tcPr>
            <w:tcW w:w="2551" w:type="dxa"/>
            <w:vAlign w:val="center"/>
          </w:tcPr>
          <w:p>
            <w:pPr>
              <w:pStyle w:val="4"/>
            </w:pPr>
            <w:r>
              <w:t>4.40</w:t>
            </w:r>
          </w:p>
        </w:tc>
        <w:tc>
          <w:tcPr>
            <w:tcW w:w="2551" w:type="dxa"/>
            <w:vAlign w:val="center"/>
          </w:tcPr>
          <w:p>
            <w:pPr>
              <w:pStyle w:val="4"/>
            </w:pPr>
          </w:p>
        </w:tc>
        <w:tc>
          <w:tcPr>
            <w:tcW w:w="2551" w:type="dxa"/>
            <w:vAlign w:val="center"/>
          </w:tcPr>
          <w:p>
            <w:pPr>
              <w:pStyle w:val="4"/>
            </w:pPr>
            <w:r>
              <w:t>4.40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30211</w:t>
            </w:r>
          </w:p>
        </w:tc>
        <w:tc>
          <w:tcPr>
            <w:tcW w:w="4535" w:type="dxa"/>
            <w:vAlign w:val="center"/>
          </w:tcPr>
          <w:p>
            <w:pPr>
              <w:pStyle w:val="2"/>
            </w:pPr>
            <w:r>
              <w:t>差旅费</w:t>
            </w:r>
          </w:p>
        </w:tc>
        <w:tc>
          <w:tcPr>
            <w:tcW w:w="2551" w:type="dxa"/>
            <w:vAlign w:val="center"/>
          </w:tcPr>
          <w:p>
            <w:pPr>
              <w:pStyle w:val="4"/>
            </w:pPr>
            <w:r>
              <w:t>3.00</w:t>
            </w:r>
          </w:p>
        </w:tc>
        <w:tc>
          <w:tcPr>
            <w:tcW w:w="2551" w:type="dxa"/>
            <w:vAlign w:val="center"/>
          </w:tcPr>
          <w:p>
            <w:pPr>
              <w:pStyle w:val="4"/>
            </w:pPr>
          </w:p>
        </w:tc>
        <w:tc>
          <w:tcPr>
            <w:tcW w:w="2551" w:type="dxa"/>
            <w:vAlign w:val="center"/>
          </w:tcPr>
          <w:p>
            <w:pPr>
              <w:pStyle w:val="4"/>
            </w:pPr>
            <w:r>
              <w:t>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30228</w:t>
            </w:r>
          </w:p>
        </w:tc>
        <w:tc>
          <w:tcPr>
            <w:tcW w:w="4535" w:type="dxa"/>
            <w:vAlign w:val="center"/>
          </w:tcPr>
          <w:p>
            <w:pPr>
              <w:pStyle w:val="2"/>
            </w:pPr>
            <w:r>
              <w:t>工会经费</w:t>
            </w:r>
          </w:p>
        </w:tc>
        <w:tc>
          <w:tcPr>
            <w:tcW w:w="2551" w:type="dxa"/>
            <w:vAlign w:val="center"/>
          </w:tcPr>
          <w:p>
            <w:pPr>
              <w:pStyle w:val="4"/>
            </w:pPr>
            <w:r>
              <w:t>6.14</w:t>
            </w:r>
          </w:p>
        </w:tc>
        <w:tc>
          <w:tcPr>
            <w:tcW w:w="2551" w:type="dxa"/>
            <w:vAlign w:val="center"/>
          </w:tcPr>
          <w:p>
            <w:pPr>
              <w:pStyle w:val="4"/>
            </w:pPr>
          </w:p>
        </w:tc>
        <w:tc>
          <w:tcPr>
            <w:tcW w:w="2551" w:type="dxa"/>
            <w:vAlign w:val="center"/>
          </w:tcPr>
          <w:p>
            <w:pPr>
              <w:pStyle w:val="4"/>
            </w:pPr>
            <w:r>
              <w:t>6.14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30229</w:t>
            </w:r>
          </w:p>
        </w:tc>
        <w:tc>
          <w:tcPr>
            <w:tcW w:w="4535" w:type="dxa"/>
            <w:vAlign w:val="center"/>
          </w:tcPr>
          <w:p>
            <w:pPr>
              <w:pStyle w:val="2"/>
            </w:pPr>
            <w:r>
              <w:t>福利费</w:t>
            </w:r>
          </w:p>
        </w:tc>
        <w:tc>
          <w:tcPr>
            <w:tcW w:w="2551" w:type="dxa"/>
            <w:vAlign w:val="center"/>
          </w:tcPr>
          <w:p>
            <w:pPr>
              <w:pStyle w:val="4"/>
            </w:pPr>
            <w:r>
              <w:t>7.49</w:t>
            </w:r>
          </w:p>
        </w:tc>
        <w:tc>
          <w:tcPr>
            <w:tcW w:w="2551" w:type="dxa"/>
            <w:vAlign w:val="center"/>
          </w:tcPr>
          <w:p>
            <w:pPr>
              <w:pStyle w:val="4"/>
            </w:pPr>
          </w:p>
        </w:tc>
        <w:tc>
          <w:tcPr>
            <w:tcW w:w="2551" w:type="dxa"/>
            <w:vAlign w:val="center"/>
          </w:tcPr>
          <w:p>
            <w:pPr>
              <w:pStyle w:val="4"/>
            </w:pPr>
            <w:r>
              <w:t>7.49</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30299</w:t>
            </w:r>
          </w:p>
        </w:tc>
        <w:tc>
          <w:tcPr>
            <w:tcW w:w="4535" w:type="dxa"/>
            <w:vAlign w:val="center"/>
          </w:tcPr>
          <w:p>
            <w:pPr>
              <w:pStyle w:val="2"/>
            </w:pPr>
            <w:r>
              <w:t>其他商品和服务支出</w:t>
            </w:r>
          </w:p>
        </w:tc>
        <w:tc>
          <w:tcPr>
            <w:tcW w:w="2551" w:type="dxa"/>
            <w:vAlign w:val="center"/>
          </w:tcPr>
          <w:p>
            <w:pPr>
              <w:pStyle w:val="4"/>
            </w:pPr>
            <w:r>
              <w:t>5.07</w:t>
            </w:r>
          </w:p>
        </w:tc>
        <w:tc>
          <w:tcPr>
            <w:tcW w:w="2551" w:type="dxa"/>
            <w:vAlign w:val="center"/>
          </w:tcPr>
          <w:p>
            <w:pPr>
              <w:pStyle w:val="4"/>
            </w:pPr>
          </w:p>
        </w:tc>
        <w:tc>
          <w:tcPr>
            <w:tcW w:w="2551" w:type="dxa"/>
            <w:vAlign w:val="center"/>
          </w:tcPr>
          <w:p>
            <w:pPr>
              <w:pStyle w:val="4"/>
            </w:pPr>
            <w:r>
              <w:t>5.07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303</w:t>
            </w:r>
          </w:p>
        </w:tc>
        <w:tc>
          <w:tcPr>
            <w:tcW w:w="4535" w:type="dxa"/>
            <w:vAlign w:val="center"/>
          </w:tcPr>
          <w:p>
            <w:pPr>
              <w:pStyle w:val="2"/>
            </w:pPr>
            <w:r>
              <w:t>对个人和家庭的补助</w:t>
            </w:r>
          </w:p>
        </w:tc>
        <w:tc>
          <w:tcPr>
            <w:tcW w:w="2551" w:type="dxa"/>
            <w:vAlign w:val="center"/>
          </w:tcPr>
          <w:p>
            <w:pPr>
              <w:pStyle w:val="4"/>
            </w:pPr>
            <w:r>
              <w:t>69.39</w:t>
            </w:r>
          </w:p>
        </w:tc>
        <w:tc>
          <w:tcPr>
            <w:tcW w:w="2551" w:type="dxa"/>
            <w:vAlign w:val="center"/>
          </w:tcPr>
          <w:p>
            <w:pPr>
              <w:pStyle w:val="4"/>
            </w:pPr>
            <w:r>
              <w:t>69.39</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30302</w:t>
            </w:r>
          </w:p>
        </w:tc>
        <w:tc>
          <w:tcPr>
            <w:tcW w:w="4535" w:type="dxa"/>
            <w:vAlign w:val="center"/>
          </w:tcPr>
          <w:p>
            <w:pPr>
              <w:pStyle w:val="2"/>
            </w:pPr>
            <w:r>
              <w:t>退休费</w:t>
            </w:r>
          </w:p>
        </w:tc>
        <w:tc>
          <w:tcPr>
            <w:tcW w:w="2551" w:type="dxa"/>
            <w:vAlign w:val="center"/>
          </w:tcPr>
          <w:p>
            <w:pPr>
              <w:pStyle w:val="4"/>
            </w:pPr>
            <w:r>
              <w:t>69.37</w:t>
            </w:r>
          </w:p>
        </w:tc>
        <w:tc>
          <w:tcPr>
            <w:tcW w:w="2551" w:type="dxa"/>
            <w:vAlign w:val="center"/>
          </w:tcPr>
          <w:p>
            <w:pPr>
              <w:pStyle w:val="4"/>
            </w:pPr>
            <w:r>
              <w:t>69.37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30309</w:t>
            </w:r>
          </w:p>
        </w:tc>
        <w:tc>
          <w:tcPr>
            <w:tcW w:w="4535" w:type="dxa"/>
            <w:vAlign w:val="center"/>
          </w:tcPr>
          <w:p>
            <w:pPr>
              <w:pStyle w:val="2"/>
            </w:pPr>
            <w:r>
              <w:t>奖励金</w:t>
            </w:r>
          </w:p>
        </w:tc>
        <w:tc>
          <w:tcPr>
            <w:tcW w:w="2551" w:type="dxa"/>
            <w:vAlign w:val="center"/>
          </w:tcPr>
          <w:p>
            <w:pPr>
              <w:pStyle w:val="4"/>
            </w:pPr>
            <w:r>
              <w:t>0.02</w:t>
            </w:r>
          </w:p>
        </w:tc>
        <w:tc>
          <w:tcPr>
            <w:tcW w:w="2551" w:type="dxa"/>
            <w:vAlign w:val="center"/>
          </w:tcPr>
          <w:p>
            <w:pPr>
              <w:pStyle w:val="4"/>
            </w:pPr>
            <w:r>
              <w:t>0.02</w:t>
            </w:r>
          </w:p>
        </w:tc>
        <w:tc>
          <w:tcPr>
            <w:tcW w:w="2551" w:type="dxa"/>
            <w:vAlign w:val="center"/>
          </w:tcPr>
          <w:p>
            <w:pPr>
              <w:pStyle w:val="4"/>
            </w:pPr>
          </w:p>
        </w:tc>
      </w:tr>
    </w:tbl>
    <w:p>
      <w:pPr>
        <w:sectPr>
          <w:pgSz w:w="16840" w:h="11900" w:orient="landscape"/>
          <w:pgMar w:top="1361" w:right="1020" w:bottom="1134" w:left="1020" w:header="720" w:footer="720" w:gutter="0"/>
          <w:cols w:num="1" w:space="720"/>
        </w:sectPr>
      </w:pPr>
    </w:p>
    <w:p>
      <w:pPr>
        <w:jc w:val="center"/>
        <w:outlineLvl w:val="4"/>
      </w:pPr>
      <w:r>
        <w:rPr>
          <w:rFonts w:ascii="方正小标宋_GBK" w:eastAsia="方正小标宋_GBK" w:hAnsi="方正小标宋_GBK" w:cs="方正小标宋_GBK"/>
          <w:color w:val="000000"/>
          <w:sz w:val="36"/>
        </w:rPr>
        <w:t>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ind w:firstLine="420"/>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注：无国有资本经营预算财政拨款预算，空表列示。</w:t>
      </w:r>
    </w:p>
    <w:p>
      <w:pPr>
        <w:jc w:val="center"/>
        <w:outlineLvl w:val="4"/>
      </w:pPr>
      <w:r>
        <w:rPr>
          <w:rFonts w:ascii="方正小标宋_GBK" w:eastAsia="方正小标宋_GBK" w:hAnsi="方正小标宋_GBK" w:cs="方正小标宋_GBK"/>
          <w:color w:val="000000"/>
          <w:sz w:val="36"/>
        </w:rPr>
        <w:t>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pPr>
              <w:pStyle w:val="20"/>
            </w:pPr>
            <w:r>
              <w:t>401006承德市第三幼儿园</w:t>
            </w:r>
          </w:p>
        </w:tc>
        <w:tc>
          <w:tcPr>
            <w:tcW w:w="2381" w:type="dxa"/>
            <w:tcBorders>
              <w:top w:val="single" w:sz="6" w:space="0" w:color="FFFFFF"/>
              <w:left w:val="single" w:sz="6" w:space="0" w:color="FFFFFF"/>
              <w:right w:val="single" w:sz="6" w:space="0" w:color="FFFFFF"/>
            </w:tcBorders>
            <w:vAlign w:val="center"/>
          </w:tcPr>
          <w:p>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5" w:type="dxa"/>
            <w:gridSpan w:val="4"/>
            <w:vAlign w:val="center"/>
          </w:tcPr>
          <w:p>
            <w:pPr>
              <w:pStyle w:val="1"/>
            </w:pPr>
            <w:r>
              <w:t>资 金 性 质</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2"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2"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2" w:type="dxa"/>
            <w:vAlign w:val="center"/>
          </w:tcPr>
          <w:p>
            <w:pPr>
              <w:pStyle w:val="7"/>
            </w:pPr>
          </w:p>
        </w:tc>
        <w:tc>
          <w:tcPr>
            <w:tcW w:w="2381" w:type="dxa"/>
            <w:vAlign w:val="center"/>
          </w:tcPr>
          <w:p>
            <w:pPr>
              <w:pStyle w:val="7"/>
            </w:pPr>
          </w:p>
        </w:tc>
        <w:tc>
          <w:tcPr>
            <w:tcW w:w="2381" w:type="dxa"/>
            <w:vAlign w:val="center"/>
          </w:tcPr>
          <w:p>
            <w:pPr>
              <w:pStyle w:val="7"/>
            </w:pPr>
          </w:p>
        </w:tc>
        <w:tc>
          <w:tcPr>
            <w:tcW w:w="2381" w:type="dxa"/>
            <w:vAlign w:val="center"/>
          </w:tcPr>
          <w:p>
            <w:pPr>
              <w:pStyle w:val="7"/>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bl>
    <w:p/>
    <w:p/>
    <w:p>
      <w:pPr>
        <w:jc w:val="center"/>
        <w:outlineLvl w:val="4"/>
        <w:rPr>
          <w:rFonts w:ascii="方正小标宋_GBK" w:eastAsia="方正小标宋_GBK" w:hAnsi="方正小标宋_GBK" w:cs="方正小标宋_GBK"/>
          <w:color w:val="000000"/>
          <w:sz w:val="44"/>
        </w:rPr>
      </w:pPr>
    </w:p>
    <w:p>
      <w:pPr>
        <w:jc w:val="center"/>
        <w:outlineLvl w:val="4"/>
      </w:pPr>
      <w:r>
        <w:rPr>
          <w:rFonts w:ascii="方正小标宋_GBK" w:eastAsia="方正小标宋_GBK" w:hAnsi="方正小标宋_GBK" w:cs="方正小标宋_GBK"/>
          <w:color w:val="000000"/>
          <w:sz w:val="44"/>
        </w:rPr>
        <w:t>承德市第三幼儿园2024年单位预算信息公开情况说明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按照《中华人民共和国预算法》、《地方预决算公开操作规程》和《关于进一步推进预算公开工作的实施意见》规定，现将承德市第三幼儿园2024年单位预算公开如下：</w:t>
      </w:r>
    </w:p>
    <w:p>
      <w:pPr>
        <w:spacing w:before="10" w:after="10"/>
        <w:ind w:firstLine="640"/>
        <w:outlineLvl w:val="5"/>
      </w:pPr>
      <w:r>
        <w:rPr>
          <w:rFonts w:ascii="黑体" w:eastAsia="黑体" w:hAnsi="黑体" w:cs="黑体"/>
          <w:color w:val="000000"/>
          <w:sz w:val="32"/>
        </w:rPr>
        <w:t>一、单位职责及机构设置情况</w:t>
      </w:r>
    </w:p>
    <w:p>
      <w:pPr>
        <w:ind w:firstLine="640"/>
      </w:pPr>
      <w:r>
        <w:rPr>
          <w:rFonts w:ascii="方正楷体_GBK" w:eastAsia="方正楷体_GBK" w:hAnsi="方正楷体_GBK" w:cs="方正楷体_GBK"/>
          <w:b/>
          <w:color w:val="000000"/>
          <w:sz w:val="32"/>
        </w:rPr>
        <w:t>单位职责：</w:t>
      </w:r>
    </w:p>
    <w:p>
      <w:pPr>
        <w:pStyle w:val="-"/>
      </w:pPr>
      <w:r>
        <w:t>负责基础教育学前阶段保育、教育、教学工作</w:t>
      </w:r>
    </w:p>
    <w:p>
      <w:pPr>
        <w:pStyle w:val="-"/>
      </w:pPr>
      <w:r>
        <w:t>1、园务管理</w:t>
      </w:r>
    </w:p>
    <w:p>
      <w:pPr>
        <w:pStyle w:val="-"/>
      </w:pPr>
      <w:r>
        <w:t>贯彻党的教育方针和政策，执行上级党委和教育行政部门的指示和决议，组织和领导幼儿园全面工作。协调各职能部门工作，对党员进行教育、管理与监督,严格党的组织生活 ,抓好组织建设,积极稳妥地发展新党员,鉴定、考核、奖惩党员。支持、关心与指导工会,共青团及教代会的各项工作。协调各部门做好各种活动的组织、安排工作，做好幼儿园的各部门建设和管理工作。宣传、贯彻、执行党的路线、方针、政策,维护国家的法令、法规, 团结、组织党内外的干部、群众努力完成本单位担负的任务。</w:t>
      </w:r>
    </w:p>
    <w:p>
      <w:pPr>
        <w:pStyle w:val="-"/>
      </w:pPr>
      <w:r>
        <w:t>2、教育教学管理</w:t>
      </w:r>
    </w:p>
    <w:p>
      <w:pPr>
        <w:pStyle w:val="-"/>
      </w:pPr>
      <w:r>
        <w:t>加强常规教学活动的管理，结合我园的教育结构和特点开发推广园本课程。以适应幼儿未来发展的需求。合理安排幼儿一日活动，不断更新教育观念，加强幼儿园课程改革，逐步实现教学与科研一体化。</w:t>
      </w:r>
    </w:p>
    <w:p>
      <w:pPr>
        <w:pStyle w:val="-"/>
      </w:pPr>
      <w:r>
        <w:t>加强教师培训规划，有效提高师资队伍整体素质。加强教师专业成长培训班的管理和传帮带工作的领导，组织教师参与各种学术交流和评比活动。根据幼儿园师资发展的需求，创建教师专业成长培训体系，发挥骨干教师的传帮带作用， 促进教师队伍的发展。</w:t>
      </w:r>
    </w:p>
    <w:p>
      <w:pPr>
        <w:pStyle w:val="-"/>
      </w:pPr>
      <w:r>
        <w:t>负责各级各类科研项目的申报、初审和科研成果的鉴定申报。以及课题研究实施过程中的指导。积极争取和组织申报国家、省市各层级、各类别科研项目；组织在研科研项目的开题、中期检查、结题全过程监督检查；组织科研成果和发表的论文的登记、奖励、及推广应用。组织课题在教学中的实践推广。</w:t>
      </w:r>
    </w:p>
    <w:p>
      <w:pPr>
        <w:pStyle w:val="-"/>
      </w:pPr>
      <w:r>
        <w:t>3、安全保卫工作</w:t>
      </w:r>
    </w:p>
    <w:p>
      <w:pPr>
        <w:pStyle w:val="-"/>
      </w:pPr>
      <w:r>
        <w:t>加强门卫安全人员、消防安全人员和安全巡逻人员的管理和培训。增强各岗位安全责任意识，落实“一岗双责”，加强对安保岗位的业务培训。</w:t>
      </w:r>
    </w:p>
    <w:p>
      <w:pPr>
        <w:pStyle w:val="-"/>
      </w:pPr>
      <w:r>
        <w:t>幼儿园的消防设施、监控设施、安保设施、技防、物防设施齐全并能发挥作用。加强消防、安保的硬件投入，监控设备无死角，各种安全器械能正常运行。</w:t>
      </w:r>
    </w:p>
    <w:p>
      <w:pPr>
        <w:pStyle w:val="-"/>
      </w:pPr>
      <w:r>
        <w:t>4、后勤管理</w:t>
      </w:r>
    </w:p>
    <w:p>
      <w:pPr>
        <w:pStyle w:val="-"/>
      </w:pPr>
      <w:r>
        <w:t>按照幼儿园设置标准进行校园占地和基础设施建设，加强房屋建筑物、大型设备等基础设施建设、修缮工作。按照幼儿园设置标准及办学水平评估达标标准进行校园基本建设。根据实际随时完成包括教学楼、食堂、办公用房等所有房屋建筑物防水、门窗、内外墙体维护修缮，操场建设项目和维护维修。</w:t>
      </w:r>
    </w:p>
    <w:p>
      <w:pPr>
        <w:pStyle w:val="-"/>
      </w:pPr>
      <w:r>
        <w:t>保证教学、卫生保健、行政管理等日常工作所需各类办公用品、卫生用品、劳保用品、维修材料和其它必需物资的采购、发放，办公设备的配备和调拨等。合理安排资金，按照物品采购有关规定，严把质量关，充分做好市场调研，采购质优价廉的物品保证各项日常工作的开展。管理到位、发放及时。</w:t>
      </w:r>
    </w:p>
    <w:p>
      <w:pPr>
        <w:pStyle w:val="-"/>
      </w:pPr>
      <w:r>
        <w:t>健全伙食管理制度实行食品原料采购索证制，加强库房管理和食品烹调加工各工序管理，确保食堂安全卫生，杜绝食物中毒事故的发生。按着国家标准严格执行幼儿园伙食管理制度，加强食堂各项工作的规范和领导，确保幼儿饮食健康营养。</w:t>
      </w:r>
    </w:p>
    <w:p>
      <w:pPr>
        <w:pStyle w:val="-"/>
      </w:pPr>
      <w:r>
        <w:t>做好幼儿园班级、行政办公、水电暖、消防设备、节水节电设施设备日常维修、维护改造和设备更新购置。安全供水供电、保障生活用水、饮用水安全，定期进行水质检验，与供热公司积极配合，加强节能改造，做好冬季保温保暖工作，保证冬季供热，节约能源。</w:t>
      </w:r>
    </w:p>
    <w:p>
      <w:pPr>
        <w:pStyle w:val="-"/>
      </w:pPr>
      <w:r>
        <w:t>校园绿化美化，花草树木种植、浇灌修剪养护，环境卫生，校园保洁，污水处理，校园道路硬化，庭院维护日常管理。花草树木修剪维护及时，道路、停车场、活动场地卫生整洁，无纸屑杂物等，无卫生死角，垃圾及时清运，做到日产日清，及时疏通排污管道。</w:t>
      </w:r>
    </w:p>
    <w:p>
      <w:pPr>
        <w:pStyle w:val="-"/>
      </w:pPr>
      <w:r>
        <w:t>5、卫生保健管理</w:t>
      </w:r>
    </w:p>
    <w:p>
      <w:pPr>
        <w:pStyle w:val="-"/>
      </w:pPr>
      <w:r>
        <w:t>负责工作人员健康检查和幼儿健康检查工作；关注营养膳食负责营养食品配置，加强体弱儿监控与管理。建立健全健康保健制度以及保健登记统计制度，按着上级保健工作的要求完成幼儿园的保健工作。</w:t>
      </w:r>
    </w:p>
    <w:p>
      <w:pPr>
        <w:pStyle w:val="-"/>
      </w:pPr>
      <w:r>
        <w:t>建立健全传染病管理制度和因病缺勤病因追查登记制度。加强传染病的管理。积极做好预防宣传教育工作，严格因病缺勤记录追踪制度，有效防止传染疾病的发生和蔓延。</w:t>
      </w:r>
    </w:p>
    <w:p>
      <w:pPr>
        <w:rPr>
          <w:rFonts w:ascii="方正楷体_GBK" w:eastAsia="方正楷体_GBK" w:hAnsi="方正楷体_GBK" w:cs="方正楷体_GBK"/>
          <w:b/>
          <w:color w:val="000000"/>
          <w:sz w:val="32"/>
        </w:rPr>
      </w:pPr>
    </w:p>
    <w:p>
      <w:pPr>
        <w:ind w:firstLine="640"/>
      </w:pPr>
      <w:r>
        <w:rPr>
          <w:rFonts w:ascii="方正楷体_GBK" w:eastAsia="方正楷体_GBK" w:hAnsi="方正楷体_GBK" w:cs="方正楷体_GBK"/>
          <w:b/>
          <w:color w:val="000000"/>
          <w:sz w:val="32"/>
        </w:rPr>
        <w:t>机构设置：</w:t>
      </w:r>
    </w:p>
    <w:p>
      <w:pPr>
        <w:jc w:val="center"/>
        <w:rPr>
          <w:rFonts w:ascii="方正小标宋_GBK" w:eastAsia="方正小标宋_GBK" w:hAnsi="方正小标宋_GBK" w:cs="方正小标宋_GBK"/>
          <w:color w:val="000000"/>
          <w:sz w:val="32"/>
        </w:rPr>
      </w:pPr>
    </w:p>
    <w:p>
      <w:pPr>
        <w:jc w:val="center"/>
        <w:rPr>
          <w:rFonts w:ascii="方正小标宋_GBK" w:eastAsia="方正小标宋_GBK" w:hAnsi="方正小标宋_GBK" w:cs="方正小标宋_GBK"/>
          <w:color w:val="000000"/>
          <w:sz w:val="32"/>
        </w:rPr>
      </w:pPr>
    </w:p>
    <w:p>
      <w:pPr>
        <w:jc w:val="center"/>
        <w:rPr>
          <w:rFonts w:ascii="方正小标宋_GBK" w:eastAsia="方正小标宋_GBK" w:hAnsi="方正小标宋_GBK" w:cs="方正小标宋_GBK"/>
          <w:color w:val="000000"/>
          <w:sz w:val="32"/>
        </w:rPr>
      </w:pPr>
    </w:p>
    <w:p>
      <w:pPr>
        <w:jc w:val="center"/>
      </w:pPr>
      <w:r>
        <w:rPr>
          <w:rFonts w:ascii="方正小标宋_GBK" w:eastAsia="方正小标宋_GBK" w:hAnsi="方正小标宋_GBK" w:cs="方正小标宋_GBK"/>
          <w:color w:val="000000"/>
          <w:sz w:val="32"/>
        </w:rPr>
        <w:t>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t>单位名称</w:t>
            </w:r>
          </w:p>
        </w:tc>
        <w:tc>
          <w:tcPr>
            <w:tcW w:w="1843" w:type="dxa"/>
            <w:vAlign w:val="center"/>
          </w:tcPr>
          <w:p>
            <w:pPr>
              <w:pStyle w:val="1"/>
            </w:pPr>
            <w:r>
              <w:t>单位性质</w:t>
            </w:r>
          </w:p>
        </w:tc>
        <w:tc>
          <w:tcPr>
            <w:tcW w:w="2126" w:type="dxa"/>
            <w:vAlign w:val="center"/>
          </w:tcPr>
          <w:p>
            <w:pPr>
              <w:pStyle w:val="1"/>
            </w:pPr>
            <w:r>
              <w:t>单位规格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承德市第三幼儿园</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bl>
    <w:p>
      <w:pPr>
        <w:spacing w:before="10" w:after="10"/>
        <w:ind w:firstLine="640"/>
        <w:outlineLvl w:val="5"/>
      </w:pPr>
      <w:r>
        <w:rPr>
          <w:rFonts w:ascii="黑体" w:eastAsia="黑体" w:hAnsi="黑体" w:cs="黑体"/>
          <w:color w:val="000000"/>
          <w:sz w:val="32"/>
        </w:rPr>
        <w:t>二、单位预算安排的总体情况</w:t>
      </w:r>
    </w:p>
    <w:p>
      <w:pPr>
        <w:pStyle w:val="-0"/>
      </w:pPr>
      <w:r>
        <w:t>按照预算管理有关规定，目前我单位预算的编制实行综合预算管理，即全部收入和支出都反映在预算中。</w:t>
      </w:r>
    </w:p>
    <w:p>
      <w:pPr>
        <w:pStyle w:val="-0"/>
      </w:pPr>
      <w:r>
        <w:t>1、收入说明</w:t>
      </w:r>
    </w:p>
    <w:p>
      <w:pPr>
        <w:pStyle w:val="-0"/>
      </w:pPr>
      <w:r>
        <w:t>反映本单位当年全部收入。202</w:t>
      </w:r>
      <w:r>
        <w:rPr>
          <w:rFonts w:hint="eastAsia"/>
          <w:lang w:val="en-US" w:eastAsia="zh-CN"/>
        </w:rPr>
        <w:t>4</w:t>
      </w:r>
      <w:r>
        <w:t>年预算收入</w:t>
      </w:r>
      <w:r>
        <w:rPr>
          <w:rFonts w:hint="eastAsia"/>
          <w:lang w:val="en-US" w:eastAsia="zh-CN"/>
        </w:rPr>
        <w:t>1111.12</w:t>
      </w:r>
      <w:r>
        <w:t>万元，其中：一般公共预算收入</w:t>
      </w:r>
      <w:r>
        <w:rPr>
          <w:rFonts w:hint="eastAsia"/>
          <w:lang w:val="en-US" w:eastAsia="zh-CN"/>
        </w:rPr>
        <w:t>1111.12</w:t>
      </w:r>
      <w:r>
        <w:t>万元，基金预算收入0万元，国有资本经营预算收入0万元，财政专户核拨收入0万元。</w:t>
      </w:r>
    </w:p>
    <w:p>
      <w:pPr>
        <w:pStyle w:val="-0"/>
      </w:pPr>
      <w:r>
        <w:t>2、支出说明</w:t>
      </w:r>
    </w:p>
    <w:p>
      <w:pPr>
        <w:pStyle w:val="-0"/>
      </w:pPr>
      <w:r>
        <w:t>收支预算总表支出栏、基本支出表、项目支出表按经济分类和支出功能分类科目编制，反映承德市第三幼儿园年度单位预算中支出预算的总体情况。202</w:t>
      </w:r>
      <w:r>
        <w:rPr>
          <w:rFonts w:hint="eastAsia"/>
          <w:lang w:val="en-US" w:eastAsia="zh-CN"/>
        </w:rPr>
        <w:t>4</w:t>
      </w:r>
      <w:r>
        <w:t>年支出预算为</w:t>
      </w:r>
      <w:r>
        <w:rPr>
          <w:rFonts w:hint="eastAsia"/>
          <w:lang w:val="en-US" w:eastAsia="zh-CN"/>
        </w:rPr>
        <w:t>1111.12</w:t>
      </w:r>
      <w:r>
        <w:t>万元，其中基本支出</w:t>
      </w:r>
      <w:r>
        <w:rPr>
          <w:rFonts w:hint="eastAsia"/>
          <w:lang w:val="en-US" w:eastAsia="zh-CN"/>
        </w:rPr>
        <w:t>1038.12</w:t>
      </w:r>
      <w:r>
        <w:t>万元，包括人员经费</w:t>
      </w:r>
      <w:r>
        <w:rPr>
          <w:rFonts w:hint="eastAsia"/>
          <w:lang w:val="en-US" w:eastAsia="zh-CN"/>
        </w:rPr>
        <w:t>1003.12</w:t>
      </w:r>
      <w:r>
        <w:t>万元和日常公用经费35.</w:t>
      </w:r>
      <w:r>
        <w:rPr>
          <w:rFonts w:hint="eastAsia"/>
          <w:lang w:val="en-US" w:eastAsia="zh-CN"/>
        </w:rPr>
        <w:t>00</w:t>
      </w:r>
      <w:r>
        <w:t>万元；项目支出</w:t>
      </w:r>
      <w:r>
        <w:rPr>
          <w:rFonts w:hint="eastAsia"/>
          <w:lang w:val="en-US" w:eastAsia="zh-CN"/>
        </w:rPr>
        <w:t>73.00</w:t>
      </w:r>
      <w:r>
        <w:t>万元，主要为单位日常运转经费支出及绩效提高支出。</w:t>
      </w:r>
    </w:p>
    <w:p>
      <w:pPr>
        <w:pStyle w:val="-0"/>
      </w:pPr>
      <w:r>
        <w:t>3、比上年增减情况</w:t>
      </w:r>
    </w:p>
    <w:p>
      <w:pPr>
        <w:pStyle w:val="-0"/>
        <w:rPr>
          <w:rFonts w:eastAsia="方正仿宋_GBK" w:hint="default"/>
          <w:lang w:val="en-US" w:eastAsia="zh-CN"/>
        </w:rPr>
      </w:pPr>
      <w:r>
        <w:t>202</w:t>
      </w:r>
      <w:r>
        <w:rPr>
          <w:rFonts w:hint="eastAsia"/>
          <w:lang w:val="en-US" w:eastAsia="zh-CN"/>
        </w:rPr>
        <w:t>4</w:t>
      </w:r>
      <w:r>
        <w:t>年预算收支安排</w:t>
      </w:r>
      <w:r>
        <w:rPr>
          <w:rFonts w:hint="eastAsia"/>
          <w:lang w:val="en-US" w:eastAsia="zh-CN"/>
        </w:rPr>
        <w:t>1111.12</w:t>
      </w:r>
      <w:r>
        <w:t>万元，较202</w:t>
      </w:r>
      <w:r>
        <w:rPr>
          <w:rFonts w:hint="eastAsia"/>
          <w:lang w:val="en-US" w:eastAsia="zh-CN"/>
        </w:rPr>
        <w:t>3</w:t>
      </w:r>
      <w:r>
        <w:t>年预算</w:t>
      </w:r>
      <w:r>
        <w:rPr>
          <w:rFonts w:hint="eastAsia"/>
          <w:lang w:eastAsia="zh-CN"/>
        </w:rPr>
        <w:t>减少</w:t>
      </w:r>
      <w:r>
        <w:rPr>
          <w:rFonts w:hint="eastAsia"/>
          <w:lang w:val="en-US" w:eastAsia="zh-CN"/>
        </w:rPr>
        <w:t>136.14</w:t>
      </w:r>
      <w:r>
        <w:t>万元，其中：基本支出</w:t>
      </w:r>
      <w:r>
        <w:rPr>
          <w:rFonts w:hint="eastAsia"/>
          <w:lang w:eastAsia="zh-CN"/>
        </w:rPr>
        <w:t>减少</w:t>
      </w:r>
      <w:r>
        <w:rPr>
          <w:rFonts w:hint="eastAsia"/>
          <w:lang w:val="en-US" w:eastAsia="zh-CN"/>
        </w:rPr>
        <w:t>84.84</w:t>
      </w:r>
      <w:r>
        <w:t>万元；公用经费支出</w:t>
      </w:r>
      <w:r>
        <w:rPr>
          <w:rFonts w:hint="eastAsia"/>
          <w:lang w:eastAsia="zh-CN"/>
        </w:rPr>
        <w:t>减少</w:t>
      </w:r>
      <w:r>
        <w:t>0.</w:t>
      </w:r>
      <w:r>
        <w:rPr>
          <w:rFonts w:hint="eastAsia"/>
          <w:lang w:val="en-US" w:eastAsia="zh-CN"/>
        </w:rPr>
        <w:t>36</w:t>
      </w:r>
      <w:r>
        <w:t>万元；项目支出</w:t>
      </w:r>
      <w:r>
        <w:rPr>
          <w:rFonts w:hint="eastAsia"/>
          <w:lang w:eastAsia="zh-CN"/>
        </w:rPr>
        <w:t>减少</w:t>
      </w:r>
      <w:r>
        <w:rPr>
          <w:rFonts w:hint="eastAsia"/>
          <w:lang w:val="en-US" w:eastAsia="zh-CN"/>
        </w:rPr>
        <w:t>51.30</w:t>
      </w:r>
      <w:r>
        <w:t>万元</w:t>
      </w:r>
      <w:r>
        <w:rPr>
          <w:rFonts w:hint="eastAsia"/>
          <w:lang w:eastAsia="zh-CN"/>
        </w:rPr>
        <w:t>，其中教师工资提高倍数</w:t>
      </w:r>
      <w:r>
        <w:rPr>
          <w:rFonts w:hint="eastAsia"/>
          <w:lang w:val="en-US" w:eastAsia="zh-CN"/>
        </w:rPr>
        <w:t>19.70万元由项目支出调整到基本支出中；项目支出中2024年运转经费比2023年减少31.6万元。</w:t>
      </w:r>
    </w:p>
    <w:p>
      <w:pPr>
        <w:spacing w:before="10" w:after="10"/>
        <w:ind w:firstLine="640"/>
        <w:outlineLvl w:val="5"/>
      </w:pPr>
      <w:r>
        <w:rPr>
          <w:rFonts w:ascii="黑体" w:eastAsia="黑体" w:hAnsi="黑体" w:cs="黑体"/>
          <w:color w:val="000000"/>
          <w:sz w:val="32"/>
        </w:rPr>
        <w:t>三、机关运行经费安排情况</w:t>
      </w:r>
    </w:p>
    <w:p>
      <w:pPr>
        <w:pStyle w:val="-1"/>
      </w:pPr>
      <w:r>
        <w:t>我园为全额事业单位，预算不列示机关运转经费。</w:t>
      </w:r>
    </w:p>
    <w:p>
      <w:pPr>
        <w:spacing w:before="10" w:after="10"/>
        <w:ind w:firstLine="640"/>
        <w:outlineLvl w:val="5"/>
      </w:pPr>
      <w:r>
        <w:rPr>
          <w:rFonts w:ascii="黑体" w:eastAsia="黑体" w:hAnsi="黑体" w:cs="黑体"/>
          <w:color w:val="000000"/>
          <w:sz w:val="32"/>
        </w:rPr>
        <w:t>四、财政拨款“三公”经费预算情况及增减变化原因</w:t>
      </w:r>
    </w:p>
    <w:p>
      <w:pPr>
        <w:pStyle w:val="-2"/>
        <w:rPr>
          <w:rFonts w:eastAsia="方正仿宋_GBK" w:hint="eastAsia"/>
          <w:lang w:eastAsia="zh-CN"/>
        </w:rPr>
      </w:pPr>
      <w:r>
        <w:t>202</w:t>
      </w:r>
      <w:r>
        <w:rPr>
          <w:rFonts w:hint="eastAsia"/>
          <w:lang w:val="en-US" w:eastAsia="zh-CN"/>
        </w:rPr>
        <w:t>4</w:t>
      </w:r>
      <w:r>
        <w:t>年，我单位财政拨款“三公”经费预算安排</w:t>
      </w:r>
      <w:r>
        <w:rPr>
          <w:rFonts w:hint="eastAsia"/>
          <w:lang w:val="en-US" w:eastAsia="zh-CN"/>
        </w:rPr>
        <w:t>0</w:t>
      </w:r>
      <w:r>
        <w:t>万元，与上年持平</w:t>
      </w:r>
      <w:r>
        <w:rPr>
          <w:rFonts w:hint="eastAsia"/>
          <w:lang w:eastAsia="zh-CN"/>
        </w:rPr>
        <w:t>，无增减变化。</w:t>
      </w:r>
    </w:p>
    <w:p>
      <w:pPr>
        <w:pStyle w:val="-2"/>
      </w:pPr>
      <w:r>
        <w:t>具体支出情况如下：</w:t>
      </w:r>
    </w:p>
    <w:p>
      <w:pPr>
        <w:pStyle w:val="-2"/>
      </w:pPr>
      <w:r>
        <w:t>（一）因公出国（境）费0万元，同比无增减变化。</w:t>
      </w:r>
    </w:p>
    <w:p>
      <w:pPr>
        <w:pStyle w:val="-2"/>
      </w:pPr>
      <w:r>
        <w:t>（二）公务用车购置及运行维护费0万元，同比上年持平。</w:t>
      </w:r>
    </w:p>
    <w:p>
      <w:pPr>
        <w:pStyle w:val="-2"/>
      </w:pPr>
      <w:r>
        <w:t>（1）公务用车购置0万元，同比上年持平。</w:t>
      </w:r>
    </w:p>
    <w:p>
      <w:pPr>
        <w:pStyle w:val="-2"/>
      </w:pPr>
      <w:r>
        <w:t>（2）公务用车运行维护费0万元，同比上年持平。</w:t>
      </w:r>
    </w:p>
    <w:p>
      <w:pPr>
        <w:pStyle w:val="-2"/>
      </w:pPr>
      <w:r>
        <w:t>（三）公务接待费0万元，同比上年持平。</w:t>
      </w:r>
    </w:p>
    <w:p>
      <w:pPr>
        <w:spacing w:before="10" w:after="10"/>
        <w:ind w:firstLine="640"/>
        <w:outlineLvl w:val="5"/>
        <w:sectPr>
          <w:pgSz w:w="16840" w:h="11900" w:orient="landscape"/>
          <w:pgMar w:top="1361" w:right="1020" w:bottom="1361" w:left="1020" w:header="720" w:footer="720" w:gutter="0"/>
          <w:cols w:num="1" w:space="720"/>
        </w:sectPr>
      </w:pPr>
      <w:r>
        <w:rPr>
          <w:rFonts w:ascii="黑体" w:eastAsia="黑体" w:hAnsi="黑体" w:cs="黑体"/>
          <w:color w:val="000000"/>
          <w:sz w:val="32"/>
        </w:rPr>
        <w:t>五、单位项目预算安排情况及绩效目标</w:t>
      </w:r>
    </w:p>
    <w:p>
      <w:pPr>
        <w:ind w:firstLine="560"/>
      </w:pPr>
      <w:r>
        <w:rPr>
          <w:rFonts w:ascii="方正仿宋_GBK" w:eastAsia="方正仿宋_GBK" w:hAnsi="方正仿宋_GBK" w:cs="方正仿宋_GBK"/>
          <w:b/>
          <w:color w:val="000000"/>
          <w:sz w:val="28"/>
        </w:rPr>
        <w:t>1、2024年运转经费（三幼）绩效目标表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13080024P00003810005R</w:t>
            </w:r>
          </w:p>
        </w:tc>
        <w:tc>
          <w:tcPr>
            <w:tcW w:w="2835" w:type="dxa"/>
            <w:vAlign w:val="center"/>
          </w:tcPr>
          <w:p>
            <w:pPr>
              <w:pStyle w:val="1"/>
            </w:pPr>
            <w:r>
              <w:t>项目名称</w:t>
            </w:r>
          </w:p>
        </w:tc>
        <w:tc>
          <w:tcPr>
            <w:tcW w:w="6094" w:type="dxa"/>
            <w:gridSpan w:val="3"/>
            <w:vAlign w:val="center"/>
          </w:tcPr>
          <w:p>
            <w:pPr>
              <w:pStyle w:val="2"/>
            </w:pPr>
            <w:r>
              <w:t>2024年运转经费（三幼）</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73.00</w:t>
            </w:r>
          </w:p>
        </w:tc>
        <w:tc>
          <w:tcPr>
            <w:tcW w:w="2835" w:type="dxa"/>
            <w:vAlign w:val="center"/>
          </w:tcPr>
          <w:p>
            <w:pPr>
              <w:pStyle w:val="1"/>
            </w:pPr>
            <w:r>
              <w:t>其中：财政    资金</w:t>
            </w:r>
          </w:p>
        </w:tc>
        <w:tc>
          <w:tcPr>
            <w:tcW w:w="2551" w:type="dxa"/>
            <w:vAlign w:val="center"/>
          </w:tcPr>
          <w:p>
            <w:pPr>
              <w:pStyle w:val="2"/>
            </w:pPr>
            <w:r>
              <w:t>73.00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保障幼儿园正常运转所需的水、电、取暖、专用材料等支出</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15%</w:t>
            </w:r>
          </w:p>
        </w:tc>
        <w:tc>
          <w:tcPr>
            <w:tcW w:w="2835" w:type="dxa"/>
            <w:vAlign w:val="center"/>
          </w:tcPr>
          <w:p>
            <w:pPr>
              <w:pStyle w:val="3"/>
            </w:pPr>
            <w:r>
              <w:t>40%</w:t>
            </w:r>
          </w:p>
        </w:tc>
        <w:tc>
          <w:tcPr>
            <w:tcW w:w="2551" w:type="dxa"/>
            <w:vAlign w:val="center"/>
          </w:tcPr>
          <w:p>
            <w:pPr>
              <w:pStyle w:val="3"/>
            </w:pPr>
            <w:r>
              <w:t>70%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工作日保障单位运转情况</w:t>
            </w:r>
          </w:p>
        </w:tc>
        <w:tc>
          <w:tcPr>
            <w:tcW w:w="5386" w:type="dxa"/>
            <w:vAlign w:val="center"/>
          </w:tcPr>
          <w:p>
            <w:pPr>
              <w:pStyle w:val="2"/>
            </w:pPr>
            <w:r>
              <w:t>反映工作日保障单位运转情况</w:t>
            </w:r>
          </w:p>
        </w:tc>
        <w:tc>
          <w:tcPr>
            <w:tcW w:w="2268" w:type="dxa"/>
            <w:vAlign w:val="center"/>
          </w:tcPr>
          <w:p>
            <w:pPr>
              <w:pStyle w:val="2"/>
            </w:pPr>
            <w:r>
              <w:t>≥8小时</w:t>
            </w:r>
          </w:p>
        </w:tc>
        <w:tc>
          <w:tcPr>
            <w:tcW w:w="1276" w:type="dxa"/>
            <w:vAlign w:val="center"/>
          </w:tcPr>
          <w:p>
            <w:pPr>
              <w:pStyle w:val="2"/>
            </w:pPr>
            <w:r>
              <w:t>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反映经费支出的准确情况</w:t>
            </w:r>
          </w:p>
        </w:tc>
        <w:tc>
          <w:tcPr>
            <w:tcW w:w="2268" w:type="dxa"/>
            <w:vAlign w:val="center"/>
          </w:tcPr>
          <w:p>
            <w:pPr>
              <w:pStyle w:val="2"/>
            </w:pPr>
            <w:r>
              <w:t>100%</w:t>
            </w:r>
          </w:p>
        </w:tc>
        <w:tc>
          <w:tcPr>
            <w:tcW w:w="1276" w:type="dxa"/>
            <w:vAlign w:val="center"/>
          </w:tcPr>
          <w:p>
            <w:pPr>
              <w:pStyle w:val="2"/>
            </w:pPr>
            <w:r>
              <w:t>符合财务管理制度和内控制度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5386" w:type="dxa"/>
            <w:vAlign w:val="center"/>
          </w:tcPr>
          <w:p>
            <w:pPr>
              <w:pStyle w:val="2"/>
            </w:pPr>
            <w:r>
              <w:t xml:space="preserve">考察各项经费成本情况 </w:t>
            </w:r>
          </w:p>
        </w:tc>
        <w:tc>
          <w:tcPr>
            <w:tcW w:w="2268" w:type="dxa"/>
            <w:vAlign w:val="center"/>
          </w:tcPr>
          <w:p>
            <w:pPr>
              <w:pStyle w:val="2"/>
            </w:pPr>
            <w:r>
              <w:t>≤73万元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w:t>
            </w:r>
          </w:p>
        </w:tc>
        <w:tc>
          <w:tcPr>
            <w:tcW w:w="5386" w:type="dxa"/>
            <w:vAlign w:val="center"/>
          </w:tcPr>
          <w:p>
            <w:pPr>
              <w:pStyle w:val="2"/>
            </w:pPr>
            <w:r>
              <w:t>月度时序</w:t>
            </w:r>
          </w:p>
        </w:tc>
        <w:tc>
          <w:tcPr>
            <w:tcW w:w="2268" w:type="dxa"/>
            <w:vAlign w:val="center"/>
          </w:tcPr>
          <w:p>
            <w:pPr>
              <w:pStyle w:val="2"/>
            </w:pPr>
            <w:r>
              <w:t>支出进度要求</w:t>
            </w:r>
          </w:p>
        </w:tc>
        <w:tc>
          <w:tcPr>
            <w:tcW w:w="1276"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三公经费有效控制情况</w:t>
            </w:r>
          </w:p>
        </w:tc>
        <w:tc>
          <w:tcPr>
            <w:tcW w:w="5386" w:type="dxa"/>
            <w:vAlign w:val="center"/>
          </w:tcPr>
          <w:p>
            <w:pPr>
              <w:pStyle w:val="2"/>
            </w:pPr>
            <w:r>
              <w:t>考察</w:t>
            </w:r>
            <w:r>
              <w:t>“三公”经费</w:t>
            </w:r>
            <w:r>
              <w:t>控制情况</w:t>
            </w:r>
          </w:p>
        </w:tc>
        <w:tc>
          <w:tcPr>
            <w:tcW w:w="2268" w:type="dxa"/>
            <w:vAlign w:val="center"/>
          </w:tcPr>
          <w:p>
            <w:pPr>
              <w:pStyle w:val="2"/>
            </w:pPr>
            <w:r>
              <w:t>小于前三年平均值</w:t>
            </w:r>
          </w:p>
        </w:tc>
        <w:tc>
          <w:tcPr>
            <w:tcW w:w="1276" w:type="dxa"/>
            <w:vAlign w:val="center"/>
          </w:tcPr>
          <w:p>
            <w:pPr>
              <w:pStyle w:val="2"/>
            </w:pPr>
            <w:r>
              <w:t>响应“压缩开支，厉行节约”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w:t>
            </w:r>
          </w:p>
        </w:tc>
        <w:tc>
          <w:tcPr>
            <w:tcW w:w="5386" w:type="dxa"/>
            <w:vAlign w:val="center"/>
          </w:tcPr>
          <w:p>
            <w:pPr>
              <w:pStyle w:val="2"/>
            </w:pPr>
            <w:r>
              <w:t>反映正常办公条件保障情况</w:t>
            </w:r>
          </w:p>
        </w:tc>
        <w:tc>
          <w:tcPr>
            <w:tcW w:w="2268" w:type="dxa"/>
            <w:vAlign w:val="center"/>
          </w:tcPr>
          <w:p>
            <w:pPr>
              <w:pStyle w:val="2"/>
            </w:pPr>
            <w:r>
              <w:t>维护机关正常办公秩序</w:t>
            </w:r>
          </w:p>
        </w:tc>
        <w:tc>
          <w:tcPr>
            <w:tcW w:w="1276" w:type="dxa"/>
            <w:vAlign w:val="center"/>
          </w:tcPr>
          <w:p>
            <w:pPr>
              <w:pStyle w:val="2"/>
            </w:pPr>
            <w:r>
              <w:t>维护机关正常办公秩序</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使用节能减排产品</w:t>
            </w:r>
          </w:p>
        </w:tc>
        <w:tc>
          <w:tcPr>
            <w:tcW w:w="5386" w:type="dxa"/>
            <w:vAlign w:val="center"/>
          </w:tcPr>
          <w:p>
            <w:pPr>
              <w:pStyle w:val="2"/>
            </w:pPr>
            <w:r>
              <w:t>反映使用产品的节能减排情况</w:t>
            </w:r>
          </w:p>
        </w:tc>
        <w:tc>
          <w:tcPr>
            <w:tcW w:w="2268" w:type="dxa"/>
            <w:vAlign w:val="center"/>
          </w:tcPr>
          <w:p>
            <w:pPr>
              <w:pStyle w:val="2"/>
            </w:pPr>
            <w:r>
              <w:t>持续使用</w:t>
            </w:r>
          </w:p>
        </w:tc>
        <w:tc>
          <w:tcPr>
            <w:tcW w:w="1276" w:type="dxa"/>
            <w:vAlign w:val="center"/>
          </w:tcPr>
          <w:p>
            <w:pPr>
              <w:pStyle w:val="2"/>
            </w:pPr>
            <w:r>
              <w:t>响应节能减排号召</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机关工作人员满意度</w:t>
            </w:r>
          </w:p>
        </w:tc>
        <w:tc>
          <w:tcPr>
            <w:tcW w:w="5386" w:type="dxa"/>
            <w:vAlign w:val="center"/>
          </w:tcPr>
          <w:p>
            <w:pPr>
              <w:pStyle w:val="2"/>
            </w:pPr>
            <w:r>
              <w:t>机关工作人员满意度</w:t>
            </w:r>
          </w:p>
        </w:tc>
        <w:tc>
          <w:tcPr>
            <w:tcW w:w="2268" w:type="dxa"/>
            <w:vAlign w:val="center"/>
          </w:tcPr>
          <w:p>
            <w:pPr>
              <w:pStyle w:val="2"/>
            </w:pPr>
            <w:r>
              <w:t>≥90%</w:t>
            </w:r>
          </w:p>
        </w:tc>
        <w:tc>
          <w:tcPr>
            <w:tcW w:w="1276" w:type="dxa"/>
            <w:vAlign w:val="center"/>
          </w:tcPr>
          <w:p>
            <w:pPr>
              <w:pStyle w:val="2"/>
            </w:pPr>
            <w:r>
              <w:t>全体职工</w:t>
            </w:r>
          </w:p>
        </w:tc>
      </w:tr>
    </w:tbl>
    <w:p>
      <w:pPr>
        <w:sectPr>
          <w:pgSz w:w="16840" w:h="11900" w:orient="landscape"/>
          <w:pgMar w:top="1361" w:right="1020" w:bottom="1134" w:left="1020" w:header="720" w:footer="720" w:gutter="0"/>
          <w:cols w:num="1" w:space="720"/>
        </w:sectPr>
      </w:pPr>
    </w:p>
    <w:p>
      <w:pPr>
        <w:spacing w:before="10" w:after="10"/>
        <w:ind w:firstLine="640"/>
        <w:outlineLvl w:val="5"/>
      </w:pPr>
      <w:r>
        <w:rPr>
          <w:rFonts w:ascii="黑体" w:eastAsia="黑体" w:hAnsi="黑体" w:cs="黑体"/>
          <w:color w:val="000000"/>
          <w:sz w:val="32"/>
        </w:rPr>
        <w:t>六、政府采购预算情况</w:t>
      </w:r>
    </w:p>
    <w:p>
      <w:pPr>
        <w:spacing w:line="500" w:lineRule="exact"/>
        <w:ind w:firstLine="560"/>
      </w:pPr>
      <w:r>
        <w:rPr>
          <w:rFonts w:eastAsia="方正仿宋_GBK"/>
          <w:color w:val="000000"/>
          <w:sz w:val="28"/>
        </w:rPr>
        <w:t>202</w:t>
      </w:r>
      <w:r>
        <w:rPr>
          <w:rFonts w:eastAsia="方正仿宋_GBK" w:hint="eastAsia"/>
          <w:color w:val="000000"/>
          <w:sz w:val="28"/>
          <w:lang w:val="en-US" w:eastAsia="zh-CN"/>
        </w:rPr>
        <w:t>4</w:t>
      </w:r>
      <w:r>
        <w:rPr>
          <w:rFonts w:eastAsia="方正仿宋_GBK"/>
          <w:color w:val="000000"/>
          <w:sz w:val="28"/>
        </w:rPr>
        <w:t>年，承德市第三幼儿园安排政府采购预算</w:t>
      </w:r>
      <w:r>
        <w:rPr>
          <w:rFonts w:eastAsia="方正仿宋_GBK" w:hint="eastAsia"/>
          <w:color w:val="000000"/>
          <w:sz w:val="28"/>
          <w:lang w:val="en-US" w:eastAsia="zh-CN"/>
        </w:rPr>
        <w:t>1.00</w:t>
      </w:r>
      <w:r>
        <w:rPr>
          <w:rFonts w:eastAsia="方正仿宋_GBK"/>
          <w:color w:val="000000"/>
          <w:sz w:val="28"/>
        </w:rPr>
        <w:t>万元。具体内容见下表。</w:t>
      </w:r>
    </w:p>
    <w:p>
      <w:pPr>
        <w:jc w:val="center"/>
        <w:rPr>
          <w:rFonts w:ascii="方正小标宋_GBK" w:eastAsia="方正小标宋_GBK" w:hAnsi="方正小标宋_GBK" w:cs="方正小标宋_GBK"/>
          <w:color w:val="000000"/>
          <w:sz w:val="36"/>
        </w:rPr>
      </w:pPr>
    </w:p>
    <w:p>
      <w:pPr>
        <w:jc w:val="center"/>
      </w:pPr>
      <w:r>
        <w:rPr>
          <w:rFonts w:ascii="方正小标宋_GBK" w:eastAsia="方正小标宋_GBK" w:hAnsi="方正小标宋_GBK" w:cs="方正小标宋_GBK"/>
          <w:color w:val="000000"/>
          <w:sz w:val="36"/>
        </w:rPr>
        <w:t>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401006承德市第三幼儿园</w:t>
            </w:r>
          </w:p>
        </w:tc>
        <w:tc>
          <w:tcPr>
            <w:tcW w:w="7710" w:type="dxa"/>
            <w:gridSpan w:val="8"/>
            <w:tcBorders>
              <w:top w:val="single" w:sz="6" w:space="0" w:color="FFFFFF"/>
              <w:left w:val="single" w:sz="6" w:space="0" w:color="FFFFFF"/>
              <w:right w:val="single" w:sz="6" w:space="0" w:color="FFFFFF"/>
            </w:tcBorders>
            <w:vAlign w:val="center"/>
          </w:tcPr>
          <w:p>
            <w:pPr>
              <w:pStyle w:val="23"/>
            </w:pPr>
            <w:r>
              <w:t>单位：万元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pPr>
            <w:r>
              <w:t>计量  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6746" w:type="dxa"/>
            <w:gridSpan w:val="7"/>
            <w:vAlign w:val="center"/>
          </w:tcPr>
          <w:p>
            <w:pPr>
              <w:pStyle w:val="1"/>
            </w:pPr>
            <w:r>
              <w:t>政府采购金额（当年部门预算安排资金）</w:t>
            </w:r>
          </w:p>
        </w:tc>
        <w:tc>
          <w:tcPr>
            <w:tcW w:w="964" w:type="dxa"/>
            <w:vMerge w:val="restart"/>
            <w:vAlign w:val="center"/>
          </w:tcPr>
          <w:p>
            <w:pPr>
              <w:pStyle w:val="1"/>
            </w:pPr>
            <w:r>
              <w:t>2024年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t>单位    资金</w:t>
            </w:r>
          </w:p>
        </w:tc>
        <w:tc>
          <w:tcPr>
            <w:tcW w:w="964" w:type="dxa"/>
            <w:vAlign w:val="center"/>
          </w:tcPr>
          <w:p>
            <w:pPr>
              <w:pStyle w:val="1"/>
            </w:pPr>
            <w:r>
              <w:t>上年结转结余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合  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1.00</w:t>
            </w:r>
          </w:p>
        </w:tc>
        <w:tc>
          <w:tcPr>
            <w:tcW w:w="964" w:type="dxa"/>
            <w:vAlign w:val="center"/>
          </w:tcPr>
          <w:p>
            <w:pPr>
              <w:pStyle w:val="7"/>
            </w:pPr>
            <w:r>
              <w:t>1.00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1.00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承德市第三幼儿园小计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1.00</w:t>
            </w:r>
          </w:p>
        </w:tc>
        <w:tc>
          <w:tcPr>
            <w:tcW w:w="964" w:type="dxa"/>
            <w:vAlign w:val="center"/>
          </w:tcPr>
          <w:p>
            <w:pPr>
              <w:pStyle w:val="7"/>
            </w:pPr>
            <w:r>
              <w:t>1.00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1.00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2024年运转经费（三幼）</w:t>
            </w:r>
          </w:p>
        </w:tc>
        <w:tc>
          <w:tcPr>
            <w:tcW w:w="964" w:type="dxa"/>
            <w:vAlign w:val="center"/>
          </w:tcPr>
          <w:p>
            <w:pPr>
              <w:pStyle w:val="4"/>
            </w:pPr>
            <w:r>
              <w:t>73.00</w:t>
            </w:r>
          </w:p>
        </w:tc>
        <w:tc>
          <w:tcPr>
            <w:tcW w:w="1134" w:type="dxa"/>
            <w:vAlign w:val="center"/>
          </w:tcPr>
          <w:p>
            <w:pPr>
              <w:pStyle w:val="2"/>
            </w:pPr>
            <w:r>
              <w:t>台式计算机</w:t>
            </w:r>
          </w:p>
        </w:tc>
        <w:tc>
          <w:tcPr>
            <w:tcW w:w="1134" w:type="dxa"/>
            <w:vAlign w:val="center"/>
          </w:tcPr>
          <w:p>
            <w:pPr>
              <w:pStyle w:val="2"/>
            </w:pPr>
            <w:r>
              <w:t>A02010105</w:t>
            </w:r>
          </w:p>
        </w:tc>
        <w:tc>
          <w:tcPr>
            <w:tcW w:w="709" w:type="dxa"/>
            <w:vAlign w:val="center"/>
          </w:tcPr>
          <w:p>
            <w:pPr>
              <w:pStyle w:val="3"/>
            </w:pPr>
            <w:r>
              <w:t>台</w:t>
            </w:r>
          </w:p>
        </w:tc>
        <w:tc>
          <w:tcPr>
            <w:tcW w:w="850" w:type="dxa"/>
            <w:vAlign w:val="center"/>
          </w:tcPr>
          <w:p>
            <w:pPr>
              <w:pStyle w:val="4"/>
            </w:pPr>
            <w:r>
              <w:t>2</w:t>
            </w:r>
          </w:p>
        </w:tc>
        <w:tc>
          <w:tcPr>
            <w:tcW w:w="850" w:type="dxa"/>
            <w:vAlign w:val="center"/>
          </w:tcPr>
          <w:p>
            <w:pPr>
              <w:pStyle w:val="4"/>
            </w:pPr>
            <w:r>
              <w:t>0.50</w:t>
            </w:r>
          </w:p>
        </w:tc>
        <w:tc>
          <w:tcPr>
            <w:tcW w:w="964" w:type="dxa"/>
            <w:vAlign w:val="center"/>
          </w:tcPr>
          <w:p>
            <w:pPr>
              <w:pStyle w:val="4"/>
            </w:pPr>
            <w:r>
              <w:t>1.00</w:t>
            </w:r>
          </w:p>
        </w:tc>
        <w:tc>
          <w:tcPr>
            <w:tcW w:w="964" w:type="dxa"/>
            <w:vAlign w:val="center"/>
          </w:tcPr>
          <w:p>
            <w:pPr>
              <w:pStyle w:val="4"/>
            </w:pPr>
            <w:r>
              <w:t>1.00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1.00</w:t>
            </w:r>
          </w:p>
        </w:tc>
      </w:tr>
    </w:tbl>
    <w:p>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七、国有资产信息</w:t>
      </w:r>
    </w:p>
    <w:p>
      <w:pPr>
        <w:spacing w:line="500" w:lineRule="exact"/>
        <w:ind w:firstLine="560"/>
      </w:pPr>
      <w:r>
        <w:rPr>
          <w:rFonts w:eastAsia="方正仿宋_GBK"/>
          <w:color w:val="000000"/>
          <w:sz w:val="28"/>
        </w:rPr>
        <w:t>承德市第三幼儿园上年末固定资产金额为</w:t>
      </w:r>
      <w:r>
        <w:rPr>
          <w:rFonts w:eastAsia="方正仿宋_GBK" w:hint="eastAsia"/>
          <w:color w:val="000000"/>
          <w:sz w:val="28"/>
          <w:lang w:val="en-US" w:eastAsia="zh-CN"/>
        </w:rPr>
        <w:t>731.91</w:t>
      </w:r>
      <w:r>
        <w:rPr>
          <w:rFonts w:eastAsia="方正仿宋_GBK"/>
          <w:color w:val="000000"/>
          <w:sz w:val="28"/>
        </w:rPr>
        <w:t>万元（详见下表）。本年度拟购置固定资产总额为</w:t>
      </w:r>
      <w:r>
        <w:rPr>
          <w:rFonts w:eastAsia="方正仿宋_GBK" w:hint="eastAsia"/>
          <w:color w:val="000000"/>
          <w:sz w:val="28"/>
          <w:lang w:val="en-US" w:eastAsia="zh-CN"/>
        </w:rPr>
        <w:t>5</w:t>
      </w:r>
      <w:r>
        <w:rPr>
          <w:rFonts w:eastAsia="方正仿宋_GBK"/>
          <w:color w:val="000000"/>
          <w:sz w:val="28"/>
        </w:rPr>
        <w:t>万元，已按要求列入政府采购预算，详见政府采购预算表。</w:t>
      </w:r>
    </w:p>
    <w:p>
      <w:pPr>
        <w:jc w:val="center"/>
      </w:pPr>
      <w:r>
        <w:rPr>
          <w:rFonts w:ascii="方正小标宋_GBK" w:eastAsia="方正小标宋_GBK" w:hAnsi="方正小标宋_GBK" w:cs="方正小标宋_GBK"/>
          <w:color w:val="000000"/>
          <w:sz w:val="36"/>
        </w:rPr>
        <w:t>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noWrap w:val="0"/>
            <w:vAlign w:val="center"/>
          </w:tcPr>
          <w:p>
            <w:pPr>
              <w:pStyle w:val="20"/>
            </w:pPr>
            <w:r>
              <w:t>401006承德市第三幼儿园</w:t>
            </w:r>
          </w:p>
        </w:tc>
        <w:tc>
          <w:tcPr>
            <w:tcW w:w="5669" w:type="dxa"/>
            <w:gridSpan w:val="2"/>
            <w:tcBorders>
              <w:top w:val="single" w:sz="6" w:space="0" w:color="FFFFFF"/>
              <w:left w:val="single" w:sz="6" w:space="0" w:color="FFFFFF"/>
              <w:right w:val="single" w:sz="6" w:space="0" w:color="FFFFFF"/>
            </w:tcBorders>
            <w:noWrap w:val="0"/>
            <w:vAlign w:val="center"/>
          </w:tcPr>
          <w:p>
            <w:pPr>
              <w:pStyle w:val="22"/>
            </w:pPr>
            <w:r>
              <w:t>截止时间：202</w:t>
            </w:r>
            <w:r>
              <w:rPr>
                <w:rFonts w:hint="eastAsia"/>
                <w:lang w:val="en-US" w:eastAsia="zh-CN"/>
              </w:rPr>
              <w:t>3</w:t>
            </w:r>
            <w:r>
              <w:t>-12-31</w:t>
            </w:r>
          </w:p>
        </w:tc>
      </w:tr>
      <w:tr>
        <w:tblPrEx>
          <w:tblW w:w="0" w:type="auto"/>
          <w:jc w:val="center"/>
          <w:tblLayout w:type="fixed"/>
          <w:tblCellMar>
            <w:top w:w="0" w:type="dxa"/>
            <w:left w:w="108" w:type="dxa"/>
            <w:bottom w:w="0" w:type="dxa"/>
            <w:right w:w="108" w:type="dxa"/>
          </w:tblCellMar>
        </w:tblPrEx>
        <w:trPr>
          <w:tblHeader/>
          <w:jc w:val="center"/>
        </w:trPr>
        <w:tc>
          <w:tcPr>
            <w:tcW w:w="7370" w:type="dxa"/>
            <w:noWrap w:val="0"/>
            <w:vAlign w:val="center"/>
          </w:tcPr>
          <w:p>
            <w:pPr>
              <w:pStyle w:val="1"/>
            </w:pPr>
            <w:r>
              <w:t>项   目</w:t>
            </w:r>
          </w:p>
        </w:tc>
        <w:tc>
          <w:tcPr>
            <w:tcW w:w="2835" w:type="dxa"/>
            <w:noWrap w:val="0"/>
            <w:vAlign w:val="center"/>
          </w:tcPr>
          <w:p>
            <w:pPr>
              <w:pStyle w:val="1"/>
            </w:pPr>
            <w:r>
              <w:t>数量</w:t>
            </w:r>
          </w:p>
        </w:tc>
        <w:tc>
          <w:tcPr>
            <w:tcW w:w="2835" w:type="dxa"/>
            <w:noWrap w:val="0"/>
            <w:vAlign w:val="center"/>
          </w:tcPr>
          <w:p>
            <w:pPr>
              <w:pStyle w:val="1"/>
            </w:pPr>
            <w:r>
              <w:t>价值（金额单位：万元）</w:t>
            </w:r>
          </w:p>
        </w:tc>
      </w:tr>
      <w:tr>
        <w:tblPrEx>
          <w:tblW w:w="0" w:type="auto"/>
          <w:jc w:val="center"/>
          <w:tblLayout w:type="fixed"/>
          <w:tblCellMar>
            <w:top w:w="0" w:type="dxa"/>
            <w:left w:w="108" w:type="dxa"/>
            <w:bottom w:w="0" w:type="dxa"/>
            <w:right w:w="108" w:type="dxa"/>
          </w:tblCellMar>
        </w:tblPrEx>
        <w:trPr>
          <w:jc w:val="center"/>
        </w:trPr>
        <w:tc>
          <w:tcPr>
            <w:tcW w:w="7370" w:type="dxa"/>
            <w:noWrap w:val="0"/>
            <w:vAlign w:val="center"/>
          </w:tcPr>
          <w:p>
            <w:pPr>
              <w:pStyle w:val="2"/>
            </w:pPr>
            <w:r>
              <w:t>资产总额</w:t>
            </w:r>
          </w:p>
        </w:tc>
        <w:tc>
          <w:tcPr>
            <w:tcW w:w="2835" w:type="dxa"/>
            <w:noWrap w:val="0"/>
            <w:vAlign w:val="center"/>
          </w:tcPr>
          <w:p>
            <w:pPr>
              <w:pStyle w:val="3"/>
            </w:pPr>
          </w:p>
        </w:tc>
        <w:tc>
          <w:tcPr>
            <w:tcW w:w="2835" w:type="dxa"/>
            <w:noWrap w:val="0"/>
            <w:vAlign w:val="center"/>
          </w:tcPr>
          <w:p>
            <w:pPr>
              <w:pStyle w:val="4"/>
              <w:rPr>
                <w:rFonts w:eastAsia="方正书宋_GBK" w:hint="default"/>
                <w:lang w:val="en-US" w:eastAsia="zh-CN"/>
              </w:rPr>
            </w:pPr>
            <w:r>
              <w:rPr>
                <w:rFonts w:hint="eastAsia"/>
                <w:lang w:val="en-US" w:eastAsia="zh-CN"/>
              </w:rPr>
              <w:t>731.91</w:t>
            </w:r>
          </w:p>
        </w:tc>
      </w:tr>
      <w:tr>
        <w:tblPrEx>
          <w:tblW w:w="0" w:type="auto"/>
          <w:jc w:val="center"/>
          <w:tblLayout w:type="fixed"/>
          <w:tblCellMar>
            <w:top w:w="0" w:type="dxa"/>
            <w:left w:w="108" w:type="dxa"/>
            <w:bottom w:w="0" w:type="dxa"/>
            <w:right w:w="108" w:type="dxa"/>
          </w:tblCellMar>
        </w:tblPrEx>
        <w:trPr>
          <w:jc w:val="center"/>
        </w:trPr>
        <w:tc>
          <w:tcPr>
            <w:tcW w:w="7370" w:type="dxa"/>
            <w:noWrap w:val="0"/>
            <w:vAlign w:val="center"/>
          </w:tcPr>
          <w:p>
            <w:pPr>
              <w:pStyle w:val="2"/>
            </w:pPr>
            <w:r>
              <w:t>1、房屋（平方米）</w:t>
            </w:r>
          </w:p>
        </w:tc>
        <w:tc>
          <w:tcPr>
            <w:tcW w:w="2835" w:type="dxa"/>
            <w:noWrap w:val="0"/>
            <w:vAlign w:val="center"/>
          </w:tcPr>
          <w:p>
            <w:pPr>
              <w:pStyle w:val="3"/>
              <w:rPr>
                <w:rFonts w:eastAsia="方正书宋_GBK" w:hint="default"/>
                <w:lang w:val="en-US" w:eastAsia="zh-CN"/>
              </w:rPr>
            </w:pPr>
            <w:r>
              <w:t>392</w:t>
            </w:r>
            <w:r>
              <w:rPr>
                <w:rFonts w:hint="eastAsia"/>
                <w:lang w:val="en-US" w:eastAsia="zh-CN"/>
              </w:rPr>
              <w:t>.44</w:t>
            </w:r>
          </w:p>
        </w:tc>
        <w:tc>
          <w:tcPr>
            <w:tcW w:w="2835" w:type="dxa"/>
            <w:noWrap w:val="0"/>
            <w:vAlign w:val="center"/>
          </w:tcPr>
          <w:p>
            <w:pPr>
              <w:pStyle w:val="4"/>
            </w:pPr>
            <w:r>
              <w:t>235.00</w:t>
            </w:r>
          </w:p>
        </w:tc>
      </w:tr>
      <w:tr>
        <w:tblPrEx>
          <w:tblW w:w="0" w:type="auto"/>
          <w:jc w:val="center"/>
          <w:tblLayout w:type="fixed"/>
          <w:tblCellMar>
            <w:top w:w="0" w:type="dxa"/>
            <w:left w:w="108" w:type="dxa"/>
            <w:bottom w:w="0" w:type="dxa"/>
            <w:right w:w="108" w:type="dxa"/>
          </w:tblCellMar>
        </w:tblPrEx>
        <w:trPr>
          <w:jc w:val="center"/>
        </w:trPr>
        <w:tc>
          <w:tcPr>
            <w:tcW w:w="7370" w:type="dxa"/>
            <w:noWrap w:val="0"/>
            <w:vAlign w:val="center"/>
          </w:tcPr>
          <w:p>
            <w:pPr>
              <w:pStyle w:val="2"/>
            </w:pPr>
            <w:r>
              <w:t>　　其中：办公用房（平方米）</w:t>
            </w:r>
          </w:p>
        </w:tc>
        <w:tc>
          <w:tcPr>
            <w:tcW w:w="2835" w:type="dxa"/>
            <w:noWrap w:val="0"/>
            <w:vAlign w:val="center"/>
          </w:tcPr>
          <w:p>
            <w:pPr>
              <w:pStyle w:val="3"/>
            </w:pPr>
          </w:p>
        </w:tc>
        <w:tc>
          <w:tcPr>
            <w:tcW w:w="2835" w:type="dxa"/>
            <w:noWrap w:val="0"/>
            <w:vAlign w:val="center"/>
          </w:tcPr>
          <w:p>
            <w:pPr>
              <w:pStyle w:val="4"/>
            </w:pPr>
          </w:p>
        </w:tc>
      </w:tr>
      <w:tr>
        <w:tblPrEx>
          <w:tblW w:w="0" w:type="auto"/>
          <w:jc w:val="center"/>
          <w:tblLayout w:type="fixed"/>
          <w:tblCellMar>
            <w:top w:w="0" w:type="dxa"/>
            <w:left w:w="108" w:type="dxa"/>
            <w:bottom w:w="0" w:type="dxa"/>
            <w:right w:w="108" w:type="dxa"/>
          </w:tblCellMar>
        </w:tblPrEx>
        <w:trPr>
          <w:jc w:val="center"/>
        </w:trPr>
        <w:tc>
          <w:tcPr>
            <w:tcW w:w="7370" w:type="dxa"/>
            <w:noWrap w:val="0"/>
            <w:vAlign w:val="center"/>
          </w:tcPr>
          <w:p>
            <w:pPr>
              <w:pStyle w:val="2"/>
            </w:pPr>
            <w:r>
              <w:t>2、车辆（台、辆）</w:t>
            </w:r>
          </w:p>
        </w:tc>
        <w:tc>
          <w:tcPr>
            <w:tcW w:w="2835" w:type="dxa"/>
            <w:noWrap w:val="0"/>
            <w:vAlign w:val="center"/>
          </w:tcPr>
          <w:p>
            <w:pPr>
              <w:pStyle w:val="3"/>
            </w:pPr>
          </w:p>
        </w:tc>
        <w:tc>
          <w:tcPr>
            <w:tcW w:w="2835" w:type="dxa"/>
            <w:noWrap w:val="0"/>
            <w:vAlign w:val="center"/>
          </w:tcPr>
          <w:p>
            <w:pPr>
              <w:pStyle w:val="4"/>
            </w:pPr>
          </w:p>
        </w:tc>
      </w:tr>
      <w:tr>
        <w:tblPrEx>
          <w:tblW w:w="0" w:type="auto"/>
          <w:jc w:val="center"/>
          <w:tblLayout w:type="fixed"/>
          <w:tblCellMar>
            <w:top w:w="0" w:type="dxa"/>
            <w:left w:w="108" w:type="dxa"/>
            <w:bottom w:w="0" w:type="dxa"/>
            <w:right w:w="108" w:type="dxa"/>
          </w:tblCellMar>
        </w:tblPrEx>
        <w:trPr>
          <w:jc w:val="center"/>
        </w:trPr>
        <w:tc>
          <w:tcPr>
            <w:tcW w:w="7370" w:type="dxa"/>
            <w:noWrap w:val="0"/>
            <w:vAlign w:val="center"/>
          </w:tcPr>
          <w:p>
            <w:pPr>
              <w:pStyle w:val="2"/>
            </w:pPr>
            <w:r>
              <w:t>3、单价在20万元以上的设备</w:t>
            </w:r>
          </w:p>
        </w:tc>
        <w:tc>
          <w:tcPr>
            <w:tcW w:w="2835" w:type="dxa"/>
            <w:noWrap w:val="0"/>
            <w:vAlign w:val="center"/>
          </w:tcPr>
          <w:p>
            <w:pPr>
              <w:pStyle w:val="3"/>
              <w:rPr>
                <w:rFonts w:eastAsia="方正书宋_GBK" w:hint="eastAsia"/>
                <w:lang w:val="en-US" w:eastAsia="zh-CN"/>
              </w:rPr>
            </w:pPr>
            <w:r>
              <w:rPr>
                <w:rFonts w:hint="eastAsia"/>
                <w:lang w:val="en-US" w:eastAsia="zh-CN"/>
              </w:rPr>
              <w:t>1</w:t>
            </w:r>
          </w:p>
        </w:tc>
        <w:tc>
          <w:tcPr>
            <w:tcW w:w="2835" w:type="dxa"/>
            <w:noWrap w:val="0"/>
            <w:vAlign w:val="center"/>
          </w:tcPr>
          <w:p>
            <w:pPr>
              <w:pStyle w:val="4"/>
              <w:rPr>
                <w:rFonts w:eastAsia="方正书宋_GBK" w:hint="default"/>
                <w:lang w:val="en-US" w:eastAsia="zh-CN"/>
              </w:rPr>
            </w:pPr>
            <w:r>
              <w:rPr>
                <w:rFonts w:hint="eastAsia"/>
                <w:lang w:val="en-US" w:eastAsia="zh-CN"/>
              </w:rPr>
              <w:t>39.73</w:t>
            </w:r>
          </w:p>
        </w:tc>
      </w:tr>
      <w:tr>
        <w:tblPrEx>
          <w:tblW w:w="0" w:type="auto"/>
          <w:jc w:val="center"/>
          <w:tblLayout w:type="fixed"/>
          <w:tblCellMar>
            <w:top w:w="0" w:type="dxa"/>
            <w:left w:w="108" w:type="dxa"/>
            <w:bottom w:w="0" w:type="dxa"/>
            <w:right w:w="108" w:type="dxa"/>
          </w:tblCellMar>
        </w:tblPrEx>
        <w:trPr>
          <w:trHeight w:val="291"/>
          <w:jc w:val="center"/>
        </w:trPr>
        <w:tc>
          <w:tcPr>
            <w:tcW w:w="7370" w:type="dxa"/>
            <w:noWrap w:val="0"/>
            <w:vAlign w:val="center"/>
          </w:tcPr>
          <w:p>
            <w:pPr>
              <w:pStyle w:val="2"/>
            </w:pPr>
            <w:r>
              <w:t>4、其他固定资产</w:t>
            </w:r>
          </w:p>
        </w:tc>
        <w:tc>
          <w:tcPr>
            <w:tcW w:w="2835" w:type="dxa"/>
            <w:noWrap w:val="0"/>
            <w:vAlign w:val="center"/>
          </w:tcPr>
          <w:p>
            <w:pPr>
              <w:pStyle w:val="3"/>
              <w:rPr>
                <w:rFonts w:eastAsia="方正书宋_GBK" w:hint="default"/>
                <w:lang w:val="en-US" w:eastAsia="zh-CN"/>
              </w:rPr>
            </w:pPr>
            <w:r>
              <w:rPr>
                <w:rFonts w:hint="eastAsia"/>
                <w:lang w:val="en-US" w:eastAsia="zh-CN"/>
              </w:rPr>
              <w:t>992</w:t>
            </w:r>
          </w:p>
        </w:tc>
        <w:tc>
          <w:tcPr>
            <w:tcW w:w="2835" w:type="dxa"/>
            <w:noWrap w:val="0"/>
            <w:vAlign w:val="center"/>
          </w:tcPr>
          <w:p>
            <w:pPr>
              <w:pStyle w:val="4"/>
              <w:rPr>
                <w:rFonts w:eastAsia="方正书宋_GBK" w:hint="default"/>
                <w:lang w:val="en-US" w:eastAsia="zh-CN"/>
              </w:rPr>
            </w:pPr>
            <w:r>
              <w:rPr>
                <w:rFonts w:hint="eastAsia"/>
                <w:lang w:val="en-US" w:eastAsia="zh-CN"/>
              </w:rPr>
              <w:t>457.18</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hAnsi="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num="1" w:space="720"/>
        </w:sectPr>
      </w:pPr>
      <w:r>
        <w:rPr>
          <w:rFonts w:eastAsia="方正仿宋_GBK"/>
          <w:color w:val="000000"/>
          <w:sz w:val="28"/>
        </w:rPr>
        <w:t>我单位无其他需要说明的事项</w:t>
      </w:r>
    </w:p>
    <w:p>
      <w:bookmarkStart w:id="1" w:name="_GoBack"/>
      <w:bookmarkEnd w:id="1"/>
    </w:p>
    <w:sectPr>
      <w:pgSz w:w="16838" w:h="11906" w:orient="landscape"/>
      <w:pgMar w:top="1701" w:right="1134" w:bottom="1134" w:left="1134"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Microsoft YaHei UI">
    <w:panose1 w:val="020B0503020204020204"/>
    <w:charset w:val="86"/>
    <w:family w:val="swiss"/>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274198"/>
    <w:rsid w:val="2D8D2326"/>
    <w:rsid w:val="2E4B21B9"/>
    <w:rsid w:val="2E594A9C"/>
    <w:rsid w:val="2FE2048F"/>
    <w:rsid w:val="32712694"/>
    <w:rsid w:val="45274198"/>
    <w:rsid w:val="658205EA"/>
    <w:rsid w:val="7E5E046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next w:val="Normal"/>
    <w:uiPriority w:val="9"/>
    <w:qFormat/>
    <w:pPr>
      <w:keepNext/>
      <w:keepLines/>
      <w:spacing w:line="259" w:lineRule="auto"/>
      <w:ind w:left="10" w:right="186" w:hanging="10"/>
      <w:jc w:val="center"/>
      <w:outlineLvl w:val="0"/>
    </w:pPr>
    <w:rPr>
      <w:rFonts w:ascii="Microsoft YaHei UI" w:eastAsia="Microsoft YaHei UI" w:hAnsi="Microsoft YaHei UI" w:cs="Microsoft YaHei UI"/>
      <w:color w:val="000000"/>
      <w:kern w:val="2"/>
      <w:sz w:val="44"/>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pPr>
      <w:spacing w:before="120"/>
      <w:ind w:firstLine="560"/>
    </w:pPr>
    <w:rPr>
      <w:rFonts w:eastAsia="方正仿宋_GBK"/>
      <w:color w:val="000000"/>
      <w:sz w:val="28"/>
    </w:rPr>
  </w:style>
  <w:style w:type="paragraph" w:customStyle="1" w:styleId="20">
    <w:name w:val="单元格样式20"/>
    <w:basedOn w:val="Normal"/>
    <w:qFormat/>
    <w:rPr>
      <w:rFonts w:ascii="方正小标宋_GBK" w:eastAsia="方正小标宋_GBK" w:hAnsi="方正小标宋_GBK" w:cs="方正小标宋_GBK"/>
    </w:rPr>
  </w:style>
  <w:style w:type="paragraph" w:customStyle="1" w:styleId="21">
    <w:name w:val="单元格样式21"/>
    <w:basedOn w:val="Normal"/>
    <w:qFormat/>
    <w:pPr>
      <w:jc w:val="center"/>
    </w:pPr>
    <w:rPr>
      <w:rFonts w:ascii="方正小标宋_GBK" w:eastAsia="方正小标宋_GBK" w:hAnsi="方正小标宋_GBK" w:cs="方正小标宋_GBK"/>
    </w:rPr>
  </w:style>
  <w:style w:type="paragraph" w:customStyle="1" w:styleId="22">
    <w:name w:val="单元格样式22"/>
    <w:basedOn w:val="Normal"/>
    <w:qFormat/>
    <w:pPr>
      <w:jc w:val="right"/>
    </w:pPr>
    <w:rPr>
      <w:rFonts w:ascii="方正小标宋_GBK" w:eastAsia="方正小标宋_GBK" w:hAnsi="方正小标宋_GBK" w:cs="方正小标宋_GBK"/>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6">
    <w:name w:val="单元格样式6"/>
    <w:basedOn w:val="Normal"/>
    <w:qFormat/>
    <w:pPr>
      <w:jc w:val="center"/>
    </w:pPr>
    <w:rPr>
      <w:rFonts w:ascii="方正书宋_GBK" w:eastAsia="方正书宋_GBK" w:hAnsi="方正书宋_GBK" w:cs="方正书宋_GBK"/>
      <w:b/>
      <w:sz w:val="21"/>
    </w:rPr>
  </w:style>
  <w:style w:type="paragraph" w:customStyle="1" w:styleId="7">
    <w:name w:val="单元格样式7"/>
    <w:basedOn w:val="Normal"/>
    <w:qFormat/>
    <w:pPr>
      <w:jc w:val="right"/>
    </w:pPr>
    <w:rPr>
      <w:rFonts w:ascii="方正书宋_GBK" w:eastAsia="方正书宋_GBK" w:hAnsi="方正书宋_GBK" w:cs="方正书宋_GBK"/>
      <w:b/>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
    <w:name w:val="插入文本样式-插入单位职责文件"/>
    <w:basedOn w:val="Normal"/>
    <w:qFormat/>
    <w:pPr>
      <w:spacing w:line="500" w:lineRule="exact"/>
      <w:ind w:firstLine="560"/>
    </w:pPr>
    <w:rPr>
      <w:rFonts w:eastAsia="方正仿宋_GBK"/>
      <w:sz w:val="28"/>
    </w:rPr>
  </w:style>
  <w:style w:type="paragraph" w:customStyle="1" w:styleId="-0">
    <w:name w:val="插入文本样式-插入预算公开单位预算安排的总体情况文件"/>
    <w:basedOn w:val="Normal"/>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Normal"/>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Normal"/>
    <w:qFormat/>
    <w:pPr>
      <w:spacing w:line="500" w:lineRule="exact"/>
      <w:ind w:firstLine="560"/>
    </w:pPr>
    <w:rPr>
      <w:rFonts w:eastAsia="方正仿宋_GBK"/>
      <w:sz w:val="28"/>
    </w:rPr>
  </w:style>
  <w:style w:type="paragraph" w:customStyle="1" w:styleId="23">
    <w:name w:val="单元格样式23"/>
    <w:basedOn w:val="Normal"/>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子歌</dc:creator>
  <cp:lastModifiedBy>子歌</cp:lastModifiedBy>
  <cp:revision>1</cp:revision>
  <dcterms:created xsi:type="dcterms:W3CDTF">2024-02-26T07:55:00Z</dcterms:created>
  <dcterms:modified xsi:type="dcterms:W3CDTF">2024-02-26T09:19:23Z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