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职成</w:t>
      </w:r>
      <w:r>
        <w:rPr>
          <w:rFonts w:hint="eastAsia" w:ascii="仿宋_GB2312" w:eastAsia="仿宋_GB2312"/>
          <w:color w:val="000000"/>
          <w:sz w:val="32"/>
          <w:szCs w:val="32"/>
        </w:rPr>
        <w:t>〔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承德市教育局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承德市中等职业学校骨干教师的通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各县(市、区)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自治县教体局,高新区教体局,各中等职业学校: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市中等职业学校教师队伍建设，提高全市中等职业学校教师整体素质和专业化水平，建立健全中等职业学校教师梯次成长机制,培养和造就一支适应我市职业教育高质量发展需要的名师队伍，按照市两办印发的《承德市推进职业教育高质量发展若干措施的通知》(承办传〔2021〕28号)和《承德市教育局关于印发&lt;承德市中等职业学校教师专业梯队建设实施方案(试行)&gt;的通知》(承教通〔2022〕10号)要求，经研究决定，开展承德市中等职业学校骨干教师评选工作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评选范围为全市中等职业学校在职一线教师(含教学管  理人员,需兼课)及从事中等职业教育工作的教研人员。实行差额推荐，2022年全市拟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骨干教师100人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</w:rPr>
        <w:t>，差额推荐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(一)师德要求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1.忠诚党和人民的教育事业,全面贯彻党的教育方针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用习近平新时代中国特色社会主义思想武装头脑,践行社会主义核心价值观,践行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好老师标准。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2.模范遵守《中华人民共和国教师法》《中等职业学校教师专业标准(试行)》《中等职业学校教师职业道德规范(试行)》、新时代教师职业行为十项准则等法律法规,有高尚职业道德情操,依法执教、规范执教。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3.为人师表，爱岗乐业，落实立德树人根本任务,突出课堂育德,将立德树人融入渗透到教育教学全过程。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(二)专业及业绩要求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1.公共基础课和专业课教师具有大学本科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以上学历和中级及以上职称，实习指导课教师具有专科及以上学历和技师及以上职业资格，从事职业教育时间5年以上，5年内年度考核均在合格等次以上。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2.具有校级或县级骨干教师资格,具备本专业 (学科)领域较扎实的专业理论基础和较强的业务工作能力,熟练掌握现代教育教学手段。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3.积极承担并圆满完成所在学校安排的各项教育教学任务,教学效果显著，教学成绩突出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级及以上示范课和片区校本研修指导工作,带动同专业(学科)教师提高教学质量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近年来获得过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校级及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以上优质课或优质课指导教师奖。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热爱职业教育工作，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有一定的教育理论修养，具有较强的教科研能力，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积极参与各级各类教科研活动，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对本专业的教育教学有独到的见解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近年来参与学校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县级及以上课题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或在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市级及以上专业刊物上发表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过本专业论文。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5.积极参加培训、进修学习,具有较强的自我发展能力。按要求完成教育行政部门组织的省培、国培。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6.同等条件下，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具备以下情形的优先评选。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双师型教师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在省市班主任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能力比赛、教学能力比赛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指导学生技能比赛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中获奖的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积极参与教师、专业、课程三个层面常态化、周期性教学诊改工作的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中心教研组工作表现突出的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获得各级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职业教育教学成果奖的；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所在团队被评为国家、省、市级教师教学创新团队的；积极承担社会培训任务的；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在企业学习实践经历丰富的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参与1+X证书试点工作的；参与国家规划教材、校本教材及活页式教材的开发编写工作的。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三、推荐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（一）推荐提名(含自荐)。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学校组织发动教师认真学习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承德市中等职业学校教师专业梯队建设实施方案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及骨干教师评选有关文件，在充分酝酿提名(含自荐)的基础上，由学校领导班子集体研究确定推荐人选。推荐人选确定后，要在校内进行不少于一周的公示，无异议后，填写《承德市中职学校骨干教师推荐表》附件2，推荐人选的教育教学成绩等相关佐证材料复印件，组卷报县市区教体局；市直属学校报承德市教育局职成教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教体局要组织专门人员对申报对象按条件逐一进行考察评审。经审核无异议的候选人，按推荐名额报市教育局职成教科；市直属学校按上述程序确定推荐人选直报市教育局职成教科。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（三）市级认定。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根据评选条件，市教育局组织专家评委对推荐人选的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材料进行综合考评，确定拟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人选，报市教育局党组审核同意，公示无异议后由市教育局命名并颁发荣誉证书。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认定人选列入承德市中职学校专业梯队建设名师师资库,作为今后推荐参加上一层次名师梯队培养对象评选的必备条件。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区）教体局、各中职学校要高度重视、精心组织推荐工作，按照公正、公平、公开的原则，严格执行推荐标准，严格遵循推荐程序，真正把业绩突出的教师推荐上来。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(二)各县（市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教体局要严格按照市教育局分配的推荐指标上报（可少报）。推荐时做到评选条件、推荐指标、推荐人选、推荐过程公开；要注重学科及年龄结构上的平衡分布，向教育教学一线和思政课教师倾斜；在推荐的人选中，中青年优秀教师要占有一定的比例，特别突出的青年教师可破格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担任教学任务的学校领导推荐人选名额控制在县（市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区）推荐指标的20%以内。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（三）推荐人选的材料报送按照下列顺序组卷：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1.骨干教师推荐表2份；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2.推荐人选教学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教研等基本情况摘要表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3.学历证书、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教师资格证书、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普通话证书、专业技术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、职业资格证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、培训证书复印件；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4.各种与教育教学相关的佐证材料复印件（按国家、省、市、县排序）；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5.公开发表论文复印件；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（2-5材料一式1份）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）请各县（市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区）教体局，直属学校于2022年7月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，将《承德市中职学校骨干教师推荐人选汇总表》（签章），推荐人材料（卷宗形式），县（市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区）及学校推荐工作总结，纸质版材料报市教育局机关办公楼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405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卷宗扫描为1个PDF版文件，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推荐人选汇总表电子版同时报送邮箱：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190100239@qq.</w:t>
      </w:r>
      <w:r>
        <w:rPr>
          <w:rFonts w:hint="eastAsia" w:ascii="仿宋_GB2312" w:hAnsi="仿宋_GB2312" w:eastAsia="仿宋_GB2312" w:cs="仿宋_GB2312"/>
          <w:sz w:val="32"/>
          <w:szCs w:val="32"/>
        </w:rPr>
        <w:t>com），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逾期未报</w:t>
      </w:r>
      <w:r>
        <w:rPr>
          <w:rFonts w:hint="eastAsia" w:ascii="仿宋_GB2312" w:hAnsi="仿宋_GB2312" w:eastAsia="仿宋_GB2312" w:cs="仿宋_GB2312"/>
          <w:sz w:val="32"/>
          <w:szCs w:val="32"/>
        </w:rPr>
        <w:t>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于清涛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2131558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马方超   电话：2106185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附件：1.承德市中职学校骨干教师差额推荐指标分配表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承德市中职学校骨干教师推荐表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教学教研等基本情况摘要表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.承德市中职学校骨干教师推荐人选汇总表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承德市教育局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此件主动公开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400" w:lineRule="exact"/>
        <w:rPr>
          <w:rFonts w:ascii="仿宋_GB2312" w:eastAsia="仿宋_GB2312"/>
          <w:color w:val="000000"/>
          <w:sz w:val="28"/>
          <w:szCs w:val="28"/>
          <w:u w:val="single"/>
        </w:rPr>
      </w:pPr>
    </w:p>
    <w:p>
      <w:pPr>
        <w:spacing w:line="400" w:lineRule="exact"/>
        <w:rPr>
          <w:rFonts w:ascii="仿宋_GB2312" w:eastAsia="仿宋_GB2312"/>
          <w:color w:val="000000"/>
          <w:sz w:val="28"/>
          <w:szCs w:val="28"/>
          <w:u w:val="single"/>
        </w:rPr>
      </w:pPr>
    </w:p>
    <w:p>
      <w:pPr>
        <w:spacing w:line="400" w:lineRule="exact"/>
        <w:rPr>
          <w:rFonts w:ascii="仿宋_GB2312" w:eastAsia="仿宋_GB2312"/>
          <w:color w:val="000000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400" w:lineRule="exact"/>
        <w:rPr>
          <w:rFonts w:hint="default" w:ascii="仿宋_GB2312" w:eastAsia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承德市教育局办公室　　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>20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u w:val="single"/>
        </w:rPr>
        <w:t>日印发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   </w:t>
      </w:r>
    </w:p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  <w:u w:val="single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承德市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中职学校</w:t>
      </w:r>
      <w:r>
        <w:rPr>
          <w:rFonts w:hint="eastAsia" w:ascii="宋体" w:hAnsi="宋体"/>
          <w:b/>
          <w:sz w:val="36"/>
          <w:szCs w:val="36"/>
        </w:rPr>
        <w:t>骨干教师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差额推荐指标分配表</w:t>
      </w:r>
    </w:p>
    <w:p>
      <w:pPr>
        <w:jc w:val="center"/>
        <w:rPr>
          <w:rFonts w:hint="eastAsia" w:ascii="仿宋_GB2312" w:hAnsi="宋体" w:eastAsia="仿宋_GB2312"/>
          <w:b/>
          <w:sz w:val="18"/>
          <w:szCs w:val="18"/>
        </w:rPr>
      </w:pPr>
    </w:p>
    <w:tbl>
      <w:tblPr>
        <w:tblStyle w:val="4"/>
        <w:tblW w:w="8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81"/>
        <w:gridCol w:w="285"/>
        <w:gridCol w:w="274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县 区 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报送名额</w:t>
            </w:r>
          </w:p>
        </w:tc>
        <w:tc>
          <w:tcPr>
            <w:tcW w:w="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直属学校及单位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报送名额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双滦区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工业学校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承德县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科技管理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工程学校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宽城县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信息工程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兴隆县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承德体校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滦平县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腾飞中专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丰宁县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北辰中专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隆化县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通达中专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围场县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"/>
              </w:tabs>
              <w:spacing w:line="500" w:lineRule="exact"/>
              <w:ind w:firstLine="320" w:firstLineChars="100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7"/>
              </w:tabs>
              <w:spacing w:line="500" w:lineRule="exact"/>
              <w:ind w:firstLine="640" w:firstLineChars="200"/>
              <w:jc w:val="left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正源中专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平泉市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02"/>
              </w:tabs>
              <w:spacing w:line="50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02"/>
              </w:tabs>
              <w:spacing w:line="500" w:lineRule="exact"/>
              <w:ind w:firstLine="320" w:firstLineChars="100"/>
              <w:jc w:val="left"/>
              <w:rPr>
                <w:rFonts w:hint="default" w:ascii="仿宋_GB2312" w:hAnsi="仿宋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职成教研室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承德市</w:t>
      </w:r>
      <w:r>
        <w:rPr>
          <w:rFonts w:hint="eastAsia"/>
          <w:b/>
          <w:sz w:val="44"/>
          <w:szCs w:val="44"/>
          <w:lang w:val="en-US" w:eastAsia="zh-CN"/>
        </w:rPr>
        <w:t>中职学校骨干教师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 荐 表</w:t>
      </w:r>
    </w:p>
    <w:tbl>
      <w:tblPr>
        <w:tblStyle w:val="4"/>
        <w:tblpPr w:leftFromText="180" w:rightFromText="180" w:vertAnchor="text" w:horzAnchor="page" w:tblpX="1480" w:tblpY="295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64"/>
        <w:gridCol w:w="1021"/>
        <w:gridCol w:w="1121"/>
        <w:gridCol w:w="1711"/>
        <w:gridCol w:w="120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姓  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性别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）</w:t>
            </w:r>
            <w:r>
              <w:rPr>
                <w:rFonts w:hint="eastAsia" w:hAnsi="仿宋_GB2312" w:cs="仿宋_GB2312"/>
                <w:bCs/>
                <w:sz w:val="28"/>
                <w:lang w:val="en-US" w:eastAsia="zh-CN"/>
              </w:rPr>
              <w:t>岁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民  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籍贯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8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8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间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时  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教龄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任教学科（专业）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术职务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职业技术资格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称号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4"/>
                <w:lang w:val="en-US" w:eastAsia="zh-CN" w:bidi="ar-SA"/>
              </w:rPr>
              <w:t>市中职学校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4"/>
                <w:lang w:val="en-US" w:eastAsia="zh-CN" w:bidi="ar-SA"/>
              </w:rPr>
              <w:t>骨干教师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编号</w:t>
            </w:r>
          </w:p>
        </w:tc>
        <w:tc>
          <w:tcPr>
            <w:tcW w:w="45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学  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教  育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系及专业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教  育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系及专业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工作单位及职务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近五年考核情况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意见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负责人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（签名盖章）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县(市区)教育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行政部门意见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 负责人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（签名盖章）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市级教育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行政部门意见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 负责人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>（签名盖章）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val="en-US" w:eastAsia="zh-CN"/>
              </w:rPr>
              <w:t xml:space="preserve">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教学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教研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等基本情况摘要表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21"/>
                <w:lang w:val="en-US" w:eastAsia="zh-CN"/>
              </w:rPr>
              <w:t>本人教育教学教研主要成绩摘要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（本栏不够时可另加附页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附件3栏目可根据内容进行调整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wordWrap w:val="0"/>
              <w:ind w:firstLine="4560" w:firstLineChars="190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ind w:firstLine="4560" w:firstLineChars="1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签名：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p>
      <w:pPr>
        <w:jc w:val="left"/>
        <w:rPr>
          <w:rFonts w:hint="eastAsia"/>
          <w:sz w:val="2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75"/>
        <w:gridCol w:w="1183"/>
        <w:gridCol w:w="2059"/>
        <w:gridCol w:w="92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近五年完成教育教学工作情况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2017.7--2022.07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担任何年级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实训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任务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研职务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讲授何学科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课程及其他教学任务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每学年学时数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750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4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4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8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2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教育教学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教研</w:t>
            </w:r>
            <w:r>
              <w:rPr>
                <w:rFonts w:hint="eastAsia"/>
                <w:sz w:val="28"/>
                <w:szCs w:val="28"/>
              </w:rPr>
              <w:t>方面的专长和突出贡献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30"/>
        <w:gridCol w:w="1280"/>
        <w:gridCol w:w="508"/>
        <w:gridCol w:w="181"/>
        <w:gridCol w:w="728"/>
        <w:gridCol w:w="648"/>
        <w:gridCol w:w="94"/>
        <w:gridCol w:w="1650"/>
        <w:gridCol w:w="193"/>
        <w:gridCol w:w="2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承担教育规划科研课题情况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9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0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项目来源</w:t>
            </w:r>
          </w:p>
        </w:tc>
        <w:tc>
          <w:tcPr>
            <w:tcW w:w="96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主持/参加</w:t>
            </w: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19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19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9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8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参加、指导省市班主任能力大赛、教学能力比赛、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指导学生技能大赛获奖情况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参赛项目</w:t>
            </w:r>
          </w:p>
        </w:tc>
        <w:tc>
          <w:tcPr>
            <w:tcW w:w="10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获得成绩</w:t>
            </w:r>
          </w:p>
        </w:tc>
        <w:tc>
          <w:tcPr>
            <w:tcW w:w="2049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承担任务</w:t>
            </w:r>
          </w:p>
        </w:tc>
        <w:tc>
          <w:tcPr>
            <w:tcW w:w="7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9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9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9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9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9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近年来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论文等发表情况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95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论文题目、专著名称/教材名称</w:t>
            </w:r>
          </w:p>
        </w:tc>
        <w:tc>
          <w:tcPr>
            <w:tcW w:w="83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承担任务</w:t>
            </w:r>
          </w:p>
        </w:tc>
        <w:tc>
          <w:tcPr>
            <w:tcW w:w="151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期刊名称、卷次/出版社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950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9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950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9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950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9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近年来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论文获奖情况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9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论文名称</w:t>
            </w:r>
          </w:p>
        </w:tc>
        <w:tc>
          <w:tcPr>
            <w:tcW w:w="83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奖励等级</w:t>
            </w:r>
          </w:p>
        </w:tc>
        <w:tc>
          <w:tcPr>
            <w:tcW w:w="151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颁发部门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950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9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950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9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0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1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pct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9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主讲现场课、公开课、观摩课、研究课情况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</w:t>
            </w: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（年级、科目）</w:t>
            </w: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目的</w:t>
            </w:r>
          </w:p>
        </w:tc>
        <w:tc>
          <w:tcPr>
            <w:tcW w:w="10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省、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市、县、校）</w:t>
            </w:r>
          </w:p>
        </w:tc>
        <w:tc>
          <w:tcPr>
            <w:tcW w:w="8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企业实习实践情况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是否脱产</w:t>
            </w:r>
          </w:p>
        </w:tc>
        <w:tc>
          <w:tcPr>
            <w:tcW w:w="1837" w:type="pct"/>
            <w:gridSpan w:val="5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成绩及效果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指导培养教师情况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</w:t>
            </w: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指导内容</w:t>
            </w: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指导形式</w:t>
            </w: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在何校指导何人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或指导人数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ind w:firstLine="2880" w:firstLineChars="9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教学诊改情况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承担的任务</w:t>
            </w:r>
          </w:p>
        </w:tc>
        <w:tc>
          <w:tcPr>
            <w:tcW w:w="264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进展及效果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参加培训情况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培训项目</w:t>
            </w: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培训时长</w:t>
            </w: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承德市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中职学校职教</w:t>
      </w:r>
      <w:r>
        <w:rPr>
          <w:rFonts w:hint="eastAsia" w:ascii="宋体" w:hAnsi="宋体"/>
          <w:b/>
          <w:sz w:val="36"/>
          <w:szCs w:val="36"/>
        </w:rPr>
        <w:t>骨干教师差额推荐人选汇总表</w:t>
      </w:r>
    </w:p>
    <w:p>
      <w:pPr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楷体" w:hAnsi="楷体" w:eastAsia="楷体"/>
          <w:sz w:val="28"/>
          <w:szCs w:val="28"/>
        </w:rPr>
        <w:t xml:space="preserve">县市区学校（盖章）：             填表人：                   联系电话：              </w:t>
      </w:r>
    </w:p>
    <w:tbl>
      <w:tblPr>
        <w:tblStyle w:val="4"/>
        <w:tblW w:w="4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897"/>
        <w:gridCol w:w="955"/>
        <w:gridCol w:w="846"/>
        <w:gridCol w:w="1201"/>
        <w:gridCol w:w="902"/>
        <w:gridCol w:w="974"/>
        <w:gridCol w:w="1051"/>
        <w:gridCol w:w="944"/>
        <w:gridCol w:w="174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称号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任教学科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参加工作时间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聘任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聘任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毕业学校及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3" w:hanging="1363" w:hangingChars="56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  <w:u w:val="single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GI5Y2U3YzYxY2Y1M2MyY2E4ZmFkNjExODllZTcifQ=="/>
  </w:docVars>
  <w:rsids>
    <w:rsidRoot w:val="4FA148DA"/>
    <w:rsid w:val="03EB5A8F"/>
    <w:rsid w:val="06F4424D"/>
    <w:rsid w:val="088508A5"/>
    <w:rsid w:val="0B6131F8"/>
    <w:rsid w:val="1436143D"/>
    <w:rsid w:val="199724DC"/>
    <w:rsid w:val="1B393A75"/>
    <w:rsid w:val="1B624628"/>
    <w:rsid w:val="1B6E3F4F"/>
    <w:rsid w:val="20EF2BFD"/>
    <w:rsid w:val="21813916"/>
    <w:rsid w:val="225301BC"/>
    <w:rsid w:val="22C6533A"/>
    <w:rsid w:val="260B2536"/>
    <w:rsid w:val="27EA0644"/>
    <w:rsid w:val="294C5091"/>
    <w:rsid w:val="2C613C8C"/>
    <w:rsid w:val="2C757121"/>
    <w:rsid w:val="2F787B26"/>
    <w:rsid w:val="38AF2BE0"/>
    <w:rsid w:val="3A363689"/>
    <w:rsid w:val="3EA63F82"/>
    <w:rsid w:val="3EB11719"/>
    <w:rsid w:val="414E12CA"/>
    <w:rsid w:val="4351518D"/>
    <w:rsid w:val="4577600B"/>
    <w:rsid w:val="496122DF"/>
    <w:rsid w:val="4BE802E3"/>
    <w:rsid w:val="4F0B2565"/>
    <w:rsid w:val="4F2B6BC4"/>
    <w:rsid w:val="4FA148DA"/>
    <w:rsid w:val="50372EC1"/>
    <w:rsid w:val="51F16505"/>
    <w:rsid w:val="56AC1B97"/>
    <w:rsid w:val="60282CD3"/>
    <w:rsid w:val="611E4310"/>
    <w:rsid w:val="644340C7"/>
    <w:rsid w:val="667C005C"/>
    <w:rsid w:val="67170922"/>
    <w:rsid w:val="6E7E5266"/>
    <w:rsid w:val="70480FAF"/>
    <w:rsid w:val="71B24E1A"/>
    <w:rsid w:val="75C37A55"/>
    <w:rsid w:val="75E93CEF"/>
    <w:rsid w:val="787A0C74"/>
    <w:rsid w:val="7E9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3172</Words>
  <Characters>3277</Characters>
  <Lines>0</Lines>
  <Paragraphs>0</Paragraphs>
  <TotalTime>39</TotalTime>
  <ScaleCrop>false</ScaleCrop>
  <LinksUpToDate>false</LinksUpToDate>
  <CharactersWithSpaces>3893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2022-06-02T01:51:00Z</dcterms:created>
  <dc:creator>于清涛</dc:creator>
  <cp:lastModifiedBy>于清涛</cp:lastModifiedBy>
  <cp:lastPrinted>2022-06-16T02:32:00Z</cp:lastPrinted>
  <dcterms:modified xsi:type="dcterms:W3CDTF">2022-06-21T02:28:08Z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E560885A4DB6411183D8707FB05E2F78</vt:lpwstr>
  </property>
</Properties>
</file>